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BV.2010.78 vom 28. Januar 2011</w:t>
      </w:r>
    </w:p>
    <w:p>
      <w:r>
        <w:t>Bundesstrafgericht, 2011-01-28, DE</w:t>
      </w:r>
    </w:p>
    <w:p>
      <w:r>
        <w:rPr>
          <w:b/>
        </w:rPr>
        <w:t xml:space="preserve">Quelle: </w:t>
      </w:r>
      <w:r>
        <w:t>https://mcp.opencaselaw.ch/entscheid/bstger_BV.2010.78</w:t>
      </w:r>
    </w:p>
    <w:p>
      <w:r>
        <w:t>FR: TPF BV.2010.78 du 28 janvier 2011</w:t>
      </w:r>
    </w:p>
    <w:p>
      <w:r>
        <w:t>IT: TPF BV.2010.78 del 28 gennaio 2011</w:t>
      </w:r>
    </w:p>
    <w:p>
      <w:pPr>
        <w:pStyle w:val="Heading2"/>
      </w:pPr>
      <w:r>
        <w:t>Regeste</w:t>
      </w:r>
    </w:p>
    <w:p>
      <w:r>
        <w:t>Beschlagnahme (Art. 46 VStrR).</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Behörde ist dabei das Sekretariat der ESBK.</w:t>
      </w:r>
    </w:p>
    <w:p>
      <w:r>
        <w:rPr>
          <w:b/>
        </w:rPr>
        <w:t>E. 1.2</w:t>
      </w:r>
    </w:p>
    <w:p>
      <w:r>
        <w:t>Gegen Zwangsmassnahmen im Sinne der Art. 45 ff. VStrR und damit zu- sammenhängende Amtshandlungen kann bei der I. Beschwerdekammer des Bundesstrafgerichts Beschwerde geführt werden (Art. 26 Abs. 1 VStrR i.V.m. Art. 37 Abs. 2 lit. b StBOG und Art. 19 Abs. 1 des Organisationsreg- lements vom 31. August 2010 für das Bundesstrafgericht [Organisations- reglement BStGer, BStGerOG; SR 173.713.161]). Zur Beschwerde ist be- rechtigt, wer durch die angefochtene Amtshandlung berührt ist und ein schutzwürdiges Interesse an deren Aufhebung oder Änderung hat (Art. 28 Abs. 1 VStrR). Mit der Beschwerde kann die Verletzung von Bundesrecht, die unrichtige oder unvollständige Feststellung des Sachverhalts oder die Unangemessenheit gerügt werden (Art. 28 Abs. 2 VStrR). Die Beschwerde ist innert drei Tagen, nachdem der Beschwerdeführer von der Amtshand- 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 be die angefochtene Amtshandlung nicht im Sinne der gestellten Anträge, hat er die Beschwerde mit seiner Äusserung spätestens am dritten Werktag nach ihrem Eingang an die I. Beschwerdekammer weiterzuleiten (Art. 26 Abs. 3 VStrR).</w:t>
      </w:r>
    </w:p>
    <w:p>
      <w:r>
        <w:rPr>
          <w:b/>
        </w:rPr>
        <w:t>E. 1.3</w:t>
      </w:r>
    </w:p>
    <w:p>
      <w:r>
        <w:t>Der Beschwerdeführer ist als Eigentümer bzw. Besitzer der beschlagnahm- ten Vermögenswerte bzw. Spielchips (vgl. act. 2, S. 2) ohne weiteres zur Beschwerdeführung legitimiert. Auf dessen im Übrigen frist- und formge- recht erhobene Beschwerde ist daher einzutreten; es kann dabei offen bleiben, ob die ergänzende Eingabe des Beschwerdeführers vom 12. Ja- nuar 2011 (act. 8) als verspätet aus dem Recht zu weisen oder als zulässi- ge Noven beinhaltend zu den Akten zu nehmen wäre, da sie ein für den vorliegenden Entscheid irrelevantes Thema beschlägt (Strafbarkeit des Ei- gentümers bzw. Besitzers der beschlagnahmten Vermögenswerte; vgl. zur Problematik unaufgeforderter Eingaben im Übrigen den Entscheid des Bun- desstrafgerichts BB.2009.82 vom 14. Januar 2010, E. 1.1).</w:t>
      </w:r>
    </w:p>
    <w:p>
      <w:r>
        <w:t>- 4 -</w:t>
      </w:r>
    </w:p>
    <w:p>
      <w:r>
        <w:rPr>
          <w:b/>
        </w:rPr>
        <w:t>E. 2.1</w:t>
      </w:r>
    </w:p>
    <w:p>
      <w:r>
        <w:t>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 organisiert oder gewerbsmässig betreibt, wird mit Busse bis zu 500'000 Franken bestraft (Art. 56 Abs. 1 lit. a SBG i.V.m. Art. 333 Abs. 3 StGB). Es handelt sich demnach nicht um eine reine Ordnungswidrigkeit im Sinne von Art. 3 VStrR, weshalb sich in diesem Zusammenhang Zwangsmassnahmen als zulässig erweisen (Art. 45 Abs. 2 VStrR e contrario).</w:t>
      </w:r>
    </w:p>
    <w:p>
      <w:r>
        <w:rPr>
          <w:b/>
        </w:rPr>
        <w:t>E. 2.2</w:t>
      </w:r>
    </w:p>
    <w:p>
      <w:r>
        <w:t>Vom untersuchenden Beamten mit Beschlag zu belegen sind Gegenstän- de, die als Beweismittel von Bedeutung sein können, sowie Gegenstände und andere Vermögenswerte, die voraussichtlich der Einziehung unterlie- gen (Art. 46 Abs. 1 lit. a und b VStrR). Die Beschlagnahme in diesem Sinn ist eine provisorische (konservatorische) prozessuale Massnahme zur vor- läufigen Sicherung von Beweismitteln bzw. zur vorläufigen Sicherstellung der allenfalls der Einziehung unterliegenden Vermögenswerte (vgl. BGE 135 I 257 E. 1.5 S. 260; HAURI, Verwaltungsstrafrecht [VStrR], Bern 1998, S. 111; PIQUEREZ, Traité de procédure pénale suisse, 2. Aufl., Genf/Zürich/Basel 2006, N. 910; PIETH, Schweizerisches Strafprozessrecht, Basel 2009, S. 123). Allgemeine Voraussetzung für die Beschlagnahme ist ein hinreichender, objektiv begründeter Tatverdacht (SCHMID, Handbuch des schweizerischen Strafprozessrechts, Zürich/St. Gallen 2009, Fn. 8 zu N. 973). Gemäss ständiger Rechtsprechung der I. Beschwerdekammer setzt der hinreichende – in Abgrenzung zum dringenden – Tatverdacht ge- rade nicht voraus, dass Beweise oder Indizien bereits für eine erhebliche oder hohe Wahrscheinlichkeit einer Verurteilung sprechen. Der hinreichen- de Tatverdacht unterscheidet sich damit vom dringenden Tatverdacht vor allem durch graduelle Elemente hinsichtlich der Beweislage, wobei der Strafverfolgungsbehörde auch in der Sachverhaltsdarstellung ein geringe- rer Konkretisierungsgrad zugebilligt werden muss. Das ändert jedoch nichts daran, dass sich ein derartiger Verdacht im Verlaufe der weiteren Ermitt- lungen verdichten muss. Im Gegensatz zum erkennenden Sachrichter hat die I. Beschwerdekammer bei der Überprüfung des Tatverdachts keine er- schöpfende Abwägung der in Betracht fallenden Tat- und Rechtsfragen vorzunehmen (vgl. hierzu nebst anderen die Entscheide des Bundesstraf- gerichts BV.2010.54 vom 5. Oktober 2010, E. 2.2; BV.2009.34 vom 14. Ja- nuar 2010, E. 3.2; BV.2009.13 vom 7. Juli 2009, E. 2.2; BV.2009.8 vom 30. März 2009, E. 2.2). Des Weiteren muss die Beschlagnahme im öffentli- chen Interesse liegen und verhältnismässig sein; das heisst, sie muss in</w:t>
      </w:r>
    </w:p>
    <w:p>
      <w:r>
        <w:t>- 5 -</w:t>
      </w:r>
    </w:p>
    <w:p>
      <w:r>
        <w:t>einem angemessenen Verhältnis zur Schwere der Tat und zur Stärke des Tatverdachts stehen und für die Ermittlung notwendig und geeignet sein (vgl. SCHMID, a.a.O., N. 973 und 1131; PIETH, a.a.O., S. 105 f.; JOSITSCH, Grundriss des schweizerischen Strafprozessrechts, Zürich/St. Gallen 2009, N. 353; DONATSCH/SCHWARZENEGGER/WOHLERS, Strafprozessrecht, Zü- rich/Basel/Genf 2010, S. 156).</w:t>
      </w:r>
    </w:p>
    <w:p>
      <w:r>
        <w:rPr>
          <w:b/>
        </w:rPr>
        <w:t>E. 2.3</w:t>
      </w:r>
    </w:p>
    <w:p>
      <w:r>
        <w:t>Der Beschwerdeführer begründet seine Beschwerde im Wesentlichen da- mit, dass es sich beim beschlagnahmten Geld nicht um Spielerlös bzw. Spieleinsatz, sondern um Geldbeträge handelte, welche für den ordentli- chen Privataufwand bestimmt waren. Das zur Frage stehende Pokerspiel sei so organisiert gewesen, dass mit einem einmaligen Einsatz von total Fr. 200.-- gespielt worden sei, den der Beschwerdeführer im Zeitpunkt der Beschlagnahme schon bezahlt gehabt habe (act. 1, S. 2; act. 5, Ziff. 5).</w:t>
      </w:r>
    </w:p>
    <w:p>
      <w:r>
        <w:rPr>
          <w:b/>
        </w:rPr>
        <w:t>E. 2.4</w:t>
      </w:r>
    </w:p>
    <w:p>
      <w:r>
        <w:t>Den in gewissen Details übereinstimmenden Aussagen der verschiedenen Beteiligten ist zu entnehmen, dass ein Pokerspiel mit Geldeinsatz und Ge- winnaussichten gespielt wurde, wobei ein unbeschränkter Teilnehmerkreis via Internet zum Mitspielen aufgefordert worden war, und sich die Mitspieler zumindest zum Teil nicht kannten (act. 2.2, S. 26 ff.). Damit erweisen sich die vorliegenden Erkenntnisse insgesamt als genügend, um – insbesonde- re auch in Berücksichtigung von BGE 136 II 291 E. 5, in welchem das Bun- desgericht den Glücksspielcharakter von Texas Hold’em-Pokerturnieren klar bejahte – den hinreichenden Tatverdacht einer Widerhandlung im Sin- ne von Art. 56 Abs. 1 lit. a SBG zu begründen. Dieser wird sich im weiteren Verfahren zunehmend zu verdichten haben. Sollte das Beweisverfahren ergeben, dass der untersuchte Tatbestand nicht erfüllt ist, so ist die vorlie- gende Beschlagnahme umgehend aufzuheben.</w:t>
      </w:r>
    </w:p>
    <w:p>
      <w:r>
        <w:t>Die gegen die Beschlagnahme erhobenen Einwände des Beschwerdefüh- rers bezüglich des einmaligen Spieleinsatzes vermögen nicht zu überzeu- gen. Zum einen gibt es sehr unterschiedliche Aussagen der Beteiligten be- züglich der Art und Höhe des Spieleinsatzes, und zum anderen wäre es sehr wohl möglich, dass mehrere Spielrunden ohne Rebuy-In gespielt wur- den, bzw. noch gespielt worden wären, hätte die Razzia dem Spiel zumin- dest an diesem Abend kein Ende gemacht. Bezüglich der beim Beschwer- deführer beschlagnahmten Chips ist zu sagen, dass diese Chips an sich und die Tatsache, bei wem sie sich anlässlich der Beschlagnahme befan- den, für die Beweisführung von Belang sind. Solange der Verdacht verbo- tenen Glücksspiels unter Verwendung der Spielchips besteht, können diese als Beweismittel beschlagnahmt werden, ungeachtet der Frage der Straf- barkeit des Besitzers.</w:t>
      </w:r>
    </w:p>
    <w:p>
      <w:r>
        <w:t>- 6 -</w:t>
      </w:r>
    </w:p>
    <w:p>
      <w:r>
        <w:rPr>
          <w:b/>
        </w:rPr>
        <w:t>E. 2.5</w:t>
      </w:r>
    </w:p>
    <w:p>
      <w:r>
        <w:t>Vorliegend erscheint die Beschlagnahme des Geldes und der Spielchips des Beschwerdeführers geeignet, der Beschwerdegegnerin den Beweis ei- ner allfälligen Widerhandlung gegen Art. 56 Abs. 1 lit. a SBG zu ermögli- chen bzw. die spätere materiellrechtliche Einziehung sicherzustellen. Ein milderes Mittel als die Beschlagnahme steht der Beschwerdegegnerin zur Beweismittelsicherung bzw. zur Sicherstellung der späteren Einziehung nicht zur Verfügung, da gemäss Art. 46 Abs. 1 lit. a und b VStrR der unter- suchende Beamte gezwungen ist, Gegenstände mit Beschlag zu belegen, welche als Beweismittel von Bedeutung sein können bzw. welche voraus- sichtlich der Einziehung unterliegen. Die Beschlagnahme ist in diesem Fall zwingend vorgeschrieben. Es besteht kein Ermessensspielraum (HAURI, a.a.O., S. 110). Die im öffentlichen Auftrag handelnde Beschwerdegegnerin untersucht im vorliegenden Verfahren den Verstoss gegen Art. 56 Abs. 1 lit. a SBG, welcher als Höchststrafe eine Busse von Fr. 500'000.-- vorsieht. Angesichts dieser Strafdrohung ist das Interesse der Öffentlichkeit an der Strafverfolgung und einer allfällig damit verbundenen Beweismittelbe- schlagnahme als hoch einzuschätzen, und dieses rückt vorliegend die vom Beschwerdeführer geltend gemachten Rechte in den Hintergrund. Einen dem Beschwerdeführer aus einer allenfalls ungerechtfertigt erfolgten Be- schlagnahme erwachsenen Schaden kann dieser zu gegebenem Zeitpunkt im Entschädigungsverfahren nach Art. 99 ff. VStrR geltend machen.</w:t>
      </w:r>
    </w:p>
    <w:p>
      <w:r>
        <w:rPr>
          <w:b/>
        </w:rPr>
        <w:t>E. 2.6</w:t>
      </w:r>
    </w:p>
    <w:p>
      <w:r>
        <w:t>Bezüglich der am Ende der Beschwerdereplik erstmals rudimentär geltend gemachten Kritik betreffend des polizeilichen Vorgehens anlässlich der Be- schlagnahme (act. 5, S. 5) ist einerseits zu sagen, dass die Gelegenheit bestand, solche Vorbringen im Rahmen der Einvernahme vom 4. Novem- ber 2010 (act. 2.3) zu formulieren. Abgesehen davon, dass diese Vorbrin- gen zu wenig konkret sind, um eine Überprüfung zu ermöglichen, sind sie in dem Zeitpunkt, in welchem sie geltend gemacht wurden, auch als ver- spätet zu betrachten.</w:t>
      </w:r>
    </w:p>
    <w:p>
      <w:r>
        <w:rPr>
          <w:b/>
        </w:rPr>
        <w:t>E. 2.7</w:t>
      </w:r>
    </w:p>
    <w:p>
      <w:r>
        <w:t>Nach dem Gesagten erweist sich die Beschwerde als unbegründet und ist abzuweisen.</w:t>
      </w:r>
    </w:p>
    <w:p>
      <w:r>
        <w:rPr>
          <w:b/>
        </w:rPr>
        <w:t>E. 3</w:t>
      </w:r>
    </w:p>
    <w:p>
      <w:r>
        <w:t>Gemäss Art. 25 Abs. 4 VStrR richtet sich die Kostenpflicht im Beschwerde- verfahren vor der I. Beschwerdekammer nach Art. 73 StBOG; Art. 73 StBOG verweist seinerseits auf das Reglement des Bundesstrafgerichts vom 31. August 2010 über die Kosten, Gebühren und Entschädigungen in Bundesstrafverfahren (BStKR; SR 173.713.162), welches gemäss seinem Art. 22 Abs. 3 grundsätzlich auch auf Verfahren Anwendung findet, die im</w:t>
      </w:r>
    </w:p>
    <w:p>
      <w:r>
        <w:t>- 7 -</w:t>
      </w:r>
    </w:p>
    <w:p>
      <w:r>
        <w:t>Zeitpunkt seines Inkrafttretens hängig sind. Da dem BStKR jedoch keine Regelung über die Verteilung der Gerichtskosten zu entnehmen ist, ist er- gänzend die Regelung des BGG anzuwenden, was auch der bisherigen gesetzlichen Regelung entspricht (siehe dazu beispielsweise den Ent- scheid des Bundesstrafgerichts BV.2010.79 vom 10. Dezember 2010). Als unterliegende Partei hat somit der Beschwerdeführer die Kosten zu tragen (Art. 66 Abs. 1 BGG analog). Die Gerichtsgebühr wird auf Fr. 1'500.-- fest- gesetzt (Art. 8 Abs. 1 BStKR), unter Anrechung des geleisteten Kostenvor- schusses von Fr. 1’500.--.</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