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BV.2010.77 vom 12. Januar 2011</w:t>
      </w:r>
    </w:p>
    <w:p>
      <w:r>
        <w:t>Bundesstrafgericht, 2011-01-12, DE</w:t>
      </w:r>
    </w:p>
    <w:p>
      <w:r>
        <w:rPr>
          <w:b/>
        </w:rPr>
        <w:t xml:space="preserve">Quelle: </w:t>
      </w:r>
      <w:r>
        <w:t>https://mcp.opencaselaw.ch/entscheid/bstger_BV.2010.77</w:t>
      </w:r>
    </w:p>
    <w:p>
      <w:r>
        <w:t>FR: TPF BV.2010.77 du 12 janvier 2011</w:t>
      </w:r>
    </w:p>
    <w:p>
      <w:r>
        <w:t>IT: TPF BV.2010.77 del 12 gennaio 2011</w:t>
      </w:r>
    </w:p>
    <w:p>
      <w:pPr>
        <w:pStyle w:val="Heading2"/>
      </w:pPr>
      <w:r>
        <w:t>Regeste</w:t>
      </w:r>
    </w:p>
    <w:p>
      <w:r>
        <w:t>Beschlagnahme (Art. 46 VStrR).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Dezember 1998 über Glücksspiele und Spielbanken (Spielbankenge- setz, SBG; SR 935.52) geführten Strafuntersuchung das am 4. Novem- ber 2010 bei A. sichergestellte Bargeld im Betrag von Fr. 590.-- sowie eine Reihe diverser Spielchips beschlagnahmte (act. 1.2);</w:t>
      </w:r>
    </w:p>
    <w:p>
      <w:r>
        <w:t>- A. hiergegen am 26. November 2010 beim Direktor der ESBK Beschwerde einreichte, mit welcher er u. a. die Freigabe des beschlagnahmten Geldes beantragte (act. 1);</w:t>
      </w:r>
    </w:p>
    <w:p>
      <w:r>
        <w:t>- der Direktor der ESBK am 1. Dezember 2010 die Beschwerde mitsamt sei- ner Stellungnahme, in welcher er auf die kostenfällige Abweisung der Be- schwerde schloss, an die I. Beschwerdekammer des Bundesstrafgerichts weiterleitete (act. 2);</w:t>
      </w:r>
    </w:p>
    <w:p>
      <w:r>
        <w:t>- A. erst mit Eingabe vom 9. Dezember 2010 den Verzicht auf eine Be- schwerdereplik, am 27. Dezember 2010 schliesslich den Rückzug seiner Beschwerde erklärte (act. 5 und 7);</w:t>
      </w:r>
    </w:p>
    <w:p>
      <w:r>
        <w:t>- die seit 1. Januar 2011 für das Beschwerdeverfahren im Bereich des Ver- waltungsstrafrechts anwendbaren gesetzlichen Bestimmungen keine Rege- lung für den Rückzug einer Beschwerde und dessen Folgen mehr vorsehen (vgl. zu den bisher anwendbaren gesetzlichen Grundlagen beispielsweise den Entscheid des Bundesstrafgerichts BV.2010.79 vom 10. Dezem- ber 2010), ein solcher aber im Rahmen der Dispositionsmaxime auch ohne ausdrückliche gesetzliche Grundlage zulässig ist (vgl. ZIEGLER, Basler Kommentar, Basel 2011, Art. 386 StPO N. 3);</w:t>
      </w:r>
    </w:p>
    <w:p>
      <w:r>
        <w:t>- der Rückzug der Beschwerde den Rechtsstreit beendet, weshalb das Be- schwerdeverfahren als erledigt von der Geschäftskontrolle abgeschrieben werden kann (vgl. nebst der angeführten bisherigen Praxis auch Art. 32 Abs. 2 BGG für das Beschwerdeverfahren vor dem Bundesgericht und hierzu HÄRRI, Basler Kommentar, Basel 2008, Art. 32 BGG N. 16);</w:t>
      </w:r>
    </w:p>
    <w:p>
      <w:r>
        <w:t>- sich die Kostenpflicht im Beschwerdeverfahren vor der I. Beschwerdekam- mer nach Art. 73 StBOG bestimmt (Art. 25 Abs. 4 VStrR);</w:t>
      </w:r>
    </w:p>
    <w:p>
      <w:r>
        <w:t>- 3 -</w:t>
      </w:r>
    </w:p>
    <w:p>
      <w:r>
        <w:t>- Art. 73 StBOG im Wesentlichen nur auf das Reglement des Bundesstrafge- richts vom 31. August 2010 über die Kosten, Gebühren und Entschädigun- gen in Bundesstrafverfahren (BStKR; SR 173.713.162) verweist;</w:t>
      </w:r>
    </w:p>
    <w:p>
      <w:r>
        <w:t>- dem BStKR jedoch keine Regelung zur Verteilung der Gerichtskosten zu entnehmen ist;</w:t>
      </w:r>
    </w:p>
    <w:p>
      <w:r>
        <w:t>- der die Beschwerde zurückziehende Beschwerdeführer jedoch gemäss bisheriger Praxis grundsätzlich als unterliegende Partei zu gelten und des- halb die Gerichtskosten zu tragen hat (vgl. hierzu den bisher einschlägigen Art. 66 Abs. 1 BGG oder auch Art. 428 Abs. 1 StPO; zum Letzteren vgl. GRIESSER, Kommentar zur Schweizerischen Strafprozessordnung [StPO], Zürich/Basel/Genf 2010, Art. 428 StPO N. 3, gemäss welchem es sich um einen selbstverständlichen Grundsatz handelt, wonach als unter- liegende Partei gilt, wer ein Rechtsmittel zurückzieht);</w:t>
      </w:r>
    </w:p>
    <w:p>
      <w:r>
        <w:t>- die Gerichtsgebühr für das vorliegende Verfahren auf das reglementarisch vorgesehene Minimum von Fr. 200.-- festgesetzt wird (Art. 25 Abs. 4 VStrR i.V.m. Art. 73 Abs. 1 und 2 StBOG und Art. 8 Abs. 1 BStKR);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