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BV.2010.74 vom 21. Dezember 2010</w:t>
      </w:r>
    </w:p>
    <w:p>
      <w:r>
        <w:t>Bundesstrafgericht, 2010-12-21, DE</w:t>
      </w:r>
    </w:p>
    <w:p>
      <w:r>
        <w:rPr>
          <w:b/>
        </w:rPr>
        <w:t xml:space="preserve">Quelle: </w:t>
      </w:r>
      <w:r>
        <w:t>https://mcp.opencaselaw.ch/entscheid/bstger_BV.2010.74</w:t>
      </w:r>
    </w:p>
    <w:p>
      <w:r>
        <w:t>FR: TPF BV.2010.74 du 21 décembre 2010</w:t>
      </w:r>
    </w:p>
    <w:p>
      <w:r>
        <w:t>IT: TPF BV.2010.74 del 21 dicembre 2010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November 2010 beim Direktor der Beschwerdegegnerin Beschwerde einreichten, mit welcher sie u. a. die Freigabe der beschlagnahmten Ge- genstände beantragten (act. 1);</w:t>
      </w:r>
    </w:p>
    <w:p>
      <w:r>
        <w:t>- der Direktor der Beschwerdegegnerin die Beschwerde am 26. Novem- ber 2010 zusammen mit seiner Stellungnahme der I. Beschwerdekammer des Bundesstrafgerichts weiterleitete und die kostenfällige Abweisung der Beschwerde, soweit auf sie einzutreten sei, beantragte (act. 2);</w:t>
      </w:r>
    </w:p>
    <w:p>
      <w:r>
        <w:t>- der gemeinsame Vertreter der drei Beschwerdeführer mit Eingabe vom 15. Dezember 2010 den Rückzug der Beschwerden erklärte (act. 8);</w:t>
      </w:r>
    </w:p>
    <w:p>
      <w:r>
        <w:t>- gemäss Art. 30 lit. a SGG i.V.m. Art. 25 Abs. 4 VStrR i.V.m. Art. 62 ff. und 71 BGG i.V.m. Art. 73 Abs. 1 BZP die Rückzugserklärung (Abstand) den Rechtsstreit beendet;</w:t>
      </w:r>
    </w:p>
    <w:p>
      <w:r>
        <w:t>- das Verfahren demnach zufolge Rückzugs der Beschwerde als erledigt von der Geschäftskontrolle abgeschrieben werden kann, wobei die den Ab- stand erklärenden Beschwerdeführer als unterliegende Partei gelten und deshalb die Gerichtskosten zu tragen haben (Art. 25 Abs. 4 VStrR i.V.m. Art. 66 Abs. 1 BGG);</w:t>
      </w:r>
    </w:p>
    <w:p>
      <w:r>
        <w:t>- die Gerichtsgebühr für das vorliegende Verfahren auf Fr. 300.-- festgesetzt, gleichmässig den Beschwerdeführern auferlegt und mit den geleisteten Kostenvorschüssen verrechnet wird (Art. 3 des Reglements vom 11. Feb- ruar 2004 über die Gerichtsgebühren vor dem Bundesstrafgericht; SR 173.711.32);</w:t>
      </w:r>
    </w:p>
    <w:p>
      <w:r>
        <w:t>- die Bundesstrafgerichtskasse daher jedem Beschwerdeführer den verblei- benden Anteil des vorab geleisteten Kostenvorschusses in der Höhe von je Fr. 1'400.-- zurückzuerstatten hat;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