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BV.2010.70 vom 15. Dezember 2010</w:t>
      </w:r>
    </w:p>
    <w:p>
      <w:r>
        <w:t>Bundesstrafgericht, 2010-12-15, DE</w:t>
      </w:r>
    </w:p>
    <w:p>
      <w:r>
        <w:rPr>
          <w:b/>
        </w:rPr>
        <w:t xml:space="preserve">Quelle: </w:t>
      </w:r>
      <w:r>
        <w:t>https://mcp.opencaselaw.ch/entscheid/bstger_BV.2010.70</w:t>
      </w:r>
    </w:p>
    <w:p>
      <w:r>
        <w:t>FR: TPF BV.2010.70 du 15 décembre 2010</w:t>
      </w:r>
    </w:p>
    <w:p>
      <w:r>
        <w:t>IT: TPF BV.2010.70 del 15 dicembre 2010</w:t>
      </w:r>
    </w:p>
    <w:p>
      <w:pPr>
        <w:pStyle w:val="Heading2"/>
      </w:pPr>
      <w:r>
        <w:t>Regeste</w:t>
      </w:r>
    </w:p>
    <w:p>
      <w:r>
        <w:t>Beschlagnahme (Art. 46 VStrR).</w:t>
      </w:r>
    </w:p>
    <w:p>
      <w:pPr>
        <w:pStyle w:val="Heading2"/>
      </w:pPr>
      <w:r>
        <w:t>Erwägungen</w:t>
      </w:r>
    </w:p>
    <w:p>
      <w:r>
        <w:rPr>
          <w:b/>
        </w:rPr>
        <w:t>E. 1.1</w:t>
      </w:r>
    </w:p>
    <w:p>
      <w:r>
        <w:t>Die Verfolgung und Beurteilung von Widerhandlungen gegen das Heilmit- telgesetz richtet sich nach den Bestimmungen des VStrR und des Bundes- gerichtsgesetzes vom 17. Juni 2005 (BGG; SR. 173.110; vgl. Art. 84 Abs. 1 HMG).</w:t>
      </w:r>
    </w:p>
    <w:p>
      <w:r>
        <w:rPr>
          <w:b/>
        </w:rPr>
        <w:t>E. 1.2</w:t>
      </w:r>
    </w:p>
    <w:p>
      <w:r>
        <w:t>Gegen Zwangsmassnahmen im Sinne von Art. 45 ff. VStrR und damit zu- sammenhängende Amtshandlungen kann bei der Beschwerdekammer des Bundesstrafgerichts Beschwerde geführt werden (Art. 26 Abs. 1 VStrR). Ist die Beschwerde nicht gegen den Direktor oder Chef der beteiligten Verwal- tung gerichtet, ist sie bei diesem einzureichen (Art. 26 Abs. 2 lit. b VStrR). Berichtigt derselbe die angefochtene Amtshandlung nicht, hat er die Be- schwerde mit seiner Äusserung spätestens am dritten Werktag nach ihrem Eingang an die Beschwerdekammer weiterzuleiten (Art. 26 Abs. 3 VStrR). Die Beschwerde ist innert drei Tagen, nachdem der Beschwerdeführer von der Amtshandlung Kenntnis hat, bei der zuständigen Behörde schriftlich mit Antrag und kurzer Begründung einzureichen (Art. 28 Abs. 3 VStrR). Aller- dings wahrt auch die rechtzeitige Einreichung der Beschwerde bei einer unzuständigen Behörde die Beschwerdefrist (Art. 28 Abs. 4 VStrR).</w:t>
      </w:r>
    </w:p>
    <w:p>
      <w:r>
        <w:t>Die Beschlagnahme wurde am 5. Oktober 2010 verfügt und die Beschwer- deführer darüber am 6. Oktober 2010 in Kenntnis gesetzt (act. 1 S. 3, act. 1.4). Die Beschwerde vom 8. Oktober 2010 wurde damit fristgerecht eingereicht.</w:t>
      </w:r>
    </w:p>
    <w:p>
      <w:r>
        <w:rPr>
          <w:b/>
        </w:rPr>
        <w:t>E. 1.3</w:t>
      </w:r>
    </w:p>
    <w:p>
      <w:r>
        <w:t>Der Betroffene kann einen Entscheid nur bezüglich derjenigen Punkte an- fechten, die für ihn ungünstig lauten, die ihn also beschweren. Andernfalls fehlt ein Rechtsschutzinteresse und damit eine Prozessvoraussetzung (SCHMID, Handbuch des schweizerischen Strafprozessrechts, Zü- rich/St. Gallen 2009, N. 1458; Entscheid des Bundesstrafgerichts BB.2005.81 vom 14. September 2005, E. 1.1). Es versteht sich damit von selbst, dass im vorliegenden Fall die einzelnen Beschwerdeführer, soweit sie sich gegen Zwangsmassnahmen zur Wehr setzen, von Beginn weg nur in dem Umfang zur Beschwerde legitimiert sind als sie sich gegen die sie persönlich betreffenden Kontosperren richten, d.h. soweit sie Kontoinhaber sind. Vorliegend sind Konten der Beschwerdeführerin 1 sowie des Beschwerde- führers 3 gesperrt worden, nicht jedoch des Beschwerdeführers 2 (act. 1.3, act. 9 S. 3). Letzterer ist damit nicht zur Erhebung der Beschwerde legiti- miert. Zudem reichte dessen Vertreter trotz Aufforderung keine Vollmacht</w:t>
      </w:r>
    </w:p>
    <w:p>
      <w:r>
        <w:t>- 4 -</w:t>
      </w:r>
    </w:p>
    <w:p>
      <w:r>
        <w:t>ein (act. 9). Insoweit ist auf die Beschwerde nicht einzutreten. In Bezug auf die Beschwerdeführerin 1 und den Beschwerdeführer 3 ist folgendes fest- zuhalten: Im Rahmen des Beschwerdeverfahrens hat die Beschwerdegeg- nerin offenbar fünf der sechs gesperrten Konten freigegeben; die Beträge wurden dabei auf das nunmehr einzige beschlagnahmte Konto überwiesen (vgl. act. 11). Unklar ist, welches der Konten beschlagnahmt blieb. Da die Beschwerde ohnehin materiell abzuweisen ist (vgl. nachfolgende Erwägun- gen), können nähere Abklärungen diesbezüglich unterbleiben. Auf die Be- schwerde ist insoweit einzutreten.</w:t>
      </w:r>
    </w:p>
    <w:p>
      <w:r>
        <w:rPr>
          <w:b/>
        </w:rPr>
        <w:t>E. 2.1</w:t>
      </w:r>
    </w:p>
    <w:p>
      <w:r>
        <w:t>Die Beschlagnahme ist gemäss Art. 46 Abs. 1 lit. a und b VStrR eine provi- sorische (konservatorische) prozessuale Massnahme zur vorläufigen Si- cherstellung von Gegenständen, die als Beweismittel von Bedeutung sein können bzw. von Gegenständen und anderen Vermögenswerten, die vor- aussichtlich der Einziehung unterliegen (BGE 120 IV 365, 366 f. E. 1c). Der Einziehung unterliegen insbesondere Vermögenswerte, die durch eine strafbare Handlung erlangt worden sind oder dazu bestimmt waren, eine strafbare Handlung zu veranlassen oder zu belohnen (Art. 59 Ziff. 1 StGB). Wenn die der Einziehung unterliegenden Vermögenswerte nicht mehr vor- handen sind, erkennt der Richter auf eine Ersatzforderung in gleicher Höhe (Art. 59 Ziff. 2 Abs. 1 StGB). Voraussetzung für die Beschlagnahme ist ein hinreichender, objektiv begründeter Tatverdacht gegenüber dem Inhaber des Gegenstandes bzw. Vermögenswertes oder einem Dritten. Dabei sind an die Verdachtsgründe zu Beginn der Strafuntersuchung keine hohen An- forderungen zu stellen (BGE 125 IV 222, unveröffentlichte E. 2c). Im Ge- gensatz zum erkennenden Sachrichter hat die Beschwerdekammer bei der Überprüfung des Tatverdachts keine erschöpfende Abwägung der in Be- tracht fallenden Tat- und Rechtsfragen vorzunehmen (BGE 124 IV 313, 316 E. 4). Weiter muss die Beschlagnahme wie jedes Zwangsmittel verhältnis- mässig sein (vgl. zum Ganzen: Entscheid des Bundesstrafgerichts BV.2005.1 vom 24. März 2005 E. 2).</w:t>
      </w:r>
    </w:p>
    <w:p>
      <w:r>
        <w:rPr>
          <w:b/>
        </w:rPr>
        <w:t>E. 2.2.1</w:t>
      </w:r>
    </w:p>
    <w:p>
      <w:r>
        <w:t>Das HMG soll zum Schutz der Gesundheit von Mensch und Tier gewähr- leisten, dass nur qualitativ hoch stehende, sichere und wirksame Heilmittel in Verkehr gebracht werden (Art. 1 Abs. 1). Das Gesetz gilt unter anderem für den Umgang mit Heilmitteln (Arzneimittel und Medizinprodukte), insbe- sondere für die Herstellung und das Inverkehrbringen (Art. 2 lit. a). Gemäss Art. 4 Abs. 1 lit. a HMG gelten als Arzneimittel Produkte chemischen oder biologischen Ursprungs, die zur medizinischen Einwirkung auf den menschlichen oder tierischen Organismus bestimmt sind oder angepriesen werden, insbesondere zur Erkennung, Verhütung oder Behandlung von</w:t>
      </w:r>
    </w:p>
    <w:p>
      <w:r>
        <w:t>- 5 -</w:t>
      </w:r>
    </w:p>
    <w:p>
      <w:r>
        <w:t>Krankheiten, Verletzungen und Behinderungen; zu den Arzneimitteln gehö- ren auch Blut und Blutprodukte. Weiter definiert das HMG den Begriff „Her- stellen“ wie folgt: sämtliche Arbeitsgänge der Heilmittelproduktion von der Beschaffung der Ausgangsmaterialien über die Verarbeitung bis zur Verpa- ckung, Lagerung und Auslieferung des Endproduktes sowie die Qualitäts- kontrollen und die Freigaben. Als Inverkehrbringen sodann gilt das Vertrei- ben und Abgeben von Heilmitteln (Art. 4 Abs. 1 lit. d HMG). Wer Arzneimit- tel herstellt, braucht gemäss Art. 5 Abs. 1 lit. a HMG eine Bewilligung des Schweizerischen Heilmittelinstituts. Eine Bewilligung ist auch erforderlich für die gewerbsmässige Einfuhr, Ausfuhr und den Handel im Ausland (Art. 18 HMG). Sofern keine schwerere strafbare Handlung nach dem Strafgesetzbuch oder dem Betäubungsmittelgesetz vom 3. Oktober 1951 vorliegt, wird mit Gefängnis oder mit Busse bis zu 200 000 Franken bestraft, wer die Ge- sundheit von Menschen gefährdet, indem er oder sie vorsätzlich Arzneimit- tel ohne Zulassung, ohne Bewilligung oder entgegen anderen Bestimmun- gen dieses Gesetzes herstellt, in Verkehr bringt, verschreibt, einführt, aus- führt oder damit im Ausland handelt (Art. 86 Abs. 1 lit. b HMG). Mit Haft oder mit Busse bis zu 50 000 Franken wird bestraft, wer vorsätzlich Heilmit- tel oder pharmazeutische Hilfsstoffe herstellt, in Verkehr bringt, einführt, ausführt oder damit im Ausland handelt, die den Anforderungen, die in der Pharmakopöe aufgeführt sind, nicht entsprechen (Art. 87 Abs. 1 lit. a HMG). Wer gewerbsmässig handelt, wird mit Gefängnis bis zu sechs Mo- naten und mit Busse bis zu 100 000 Franken bestraft (Art. 87 Abs. 2 HMG); wer fahrlässig handelt, wird mit Busse bis zu 10 000 Franken bestraft (Art. 87 Abs. 3 HMG).</w:t>
      </w:r>
    </w:p>
    <w:p>
      <w:r>
        <w:rPr>
          <w:b/>
        </w:rPr>
        <w:t>E. 2.2.2</w:t>
      </w:r>
    </w:p>
    <w:p>
      <w:r>
        <w:t>Um den von der Beschwerdegegnerin erhobenen Verdacht zu enthärten (vgl. Sachverhalt lit. A), bringen die Beschwerdeführer vor, die E., welche die A. GmbH mit Produkten beliefere, stelle keine Heilmittel her, sondern lediglich Produkte für den kosmetischen Gebrauch. Die Beschwerdegegne- rin sei daher für eine Untersuchung nicht zuständig. Zudem würden die vor- liegend fraglichen Produkte ausschliesslich exportiert. In den jeweiligen Bestimmungsländern seien diese zugelassen (act. 1). Die Beschwerdegegnerin hält dem entgegen, in den Produkten sei nach Analysen teilweise der Wirkstoff Clobetasolpropionat gefunden worden, womit diese als Arzneimittel zu qualifizieren seien. Zudem würden die Pro- dukte entgegen den Behauptungen der Beschwerdeführer nicht nur ins Ausland exportiert, sondern auch in der Schweiz vertrieben. Dies ergebe sich aus beschlagnahmten Unterlagen, Internetrecherchen und sei auch von der Direktorin der F. GmbH, welche die Produkte von der A. GmbH be-</w:t>
      </w:r>
    </w:p>
    <w:p>
      <w:r>
        <w:t>- 6 -</w:t>
      </w:r>
    </w:p>
    <w:p>
      <w:r>
        <w:t>ziehe und danach verkaufe, anlässlich einer Einvernahme bestätigt wor- den. Ohnehin fehle es an den erforderlichen Bewilligungen (act. 6).</w:t>
      </w:r>
    </w:p>
    <w:p>
      <w:r>
        <w:rPr>
          <w:b/>
        </w:rPr>
        <w:t>E. 2.2.3</w:t>
      </w:r>
    </w:p>
    <w:p>
      <w:r>
        <w:t>Die Beschwerdegegnerin hat damit den für die Beschlagnahme notwendi- gen hinreichenden Tatverdacht in genügender Weise dargetan und belegt (vgl. E. 2.2.1). Die Gesuchsgegnerin vermag den Verdacht mit ihren Rügen nicht zu entkräften. Vielmehr räumt sie selbst ein, die Produkte enthielten verbotene Substanzen (vgl. insb. act. 9 S. 2 5. Lemma). Zudem ist un- bestritten, dass eine Bewilligung i.S. Art. 5 bzw. 18 HMG nicht vorliegt.</w:t>
      </w:r>
    </w:p>
    <w:p>
      <w:r>
        <w:rPr>
          <w:b/>
        </w:rPr>
        <w:t>E. 2.3</w:t>
      </w:r>
    </w:p>
    <w:p>
      <w:r>
        <w:t>Die Beschwerdeführer rügen weiter, die Beschlagnahmen seien unverhält- nismässig. Die Ermittlungen bezögen sich nur auf einen kleinen Teil der Geschäftstätigkeit der A. GmbH, der grösste Teil der Produkte enthalte kei- ne verbotenen Substanzen. Es sei demnach unverhältnismässig, durch Kontosperren die gesamte Geschäftstätigkeit der Gesellschaft zu blockie- ren. Ebenso unverhältnismässig sei vorliegend die Sperrung von Konten von Privatpersonen (act. 1). Die Abklärungen sind vorliegend im Gang und es ist derzeit noch unklar, in welchem Umfang Arzneimittel produziert wurden. Damit ist auch die Höhe des Erlöses und der allenfalls einzuziehende Betrag noch nicht klar. Eine umfassende Sperre ist daher – jedenfalls zum jetzigen Zeitpunkt – gerecht- fertigt. Zwischenzeitlich ist laut Ausführungen der Beschwerdegegnerin nur noch ein Konto gesperrt (vgl. E. 1.3). Unklar ist wie dargetan, welches der Konten beschlagnahmt blieb und ob immer noch ein Privatkonto des Be- schwerdeführers 3 von der Sperre betroffen ist. Selbst wenn dies so wäre, würde der Grundsatz der Verhältnismässigkeit jedoch nicht verletzt. So ist der Beschwerdeführer 3 selbst beschuldigt und Gesellschafter und Ge- schäftsführer der Beschwerdeführerin 1 (act. 6.1).</w:t>
      </w:r>
    </w:p>
    <w:p>
      <w:r>
        <w:rPr>
          <w:b/>
        </w:rPr>
        <w:t>E. 3</w:t>
      </w:r>
    </w:p>
    <w:p>
      <w:r>
        <w:t>Nach dem Gesagten erweist sich die Beschwerde als unbegründet.</w:t>
      </w:r>
    </w:p>
    <w:p>
      <w:r>
        <w:rPr>
          <w:b/>
        </w:rPr>
        <w:t>E. 4</w:t>
      </w:r>
    </w:p>
    <w:p>
      <w:r>
        <w:t>Bei diesem Ausgang des Verfahrens handelt es sich bei den Beschwerde- führern um die unterliegende Partei, weshalb sie die Gerichtskosten, be- stimmt auf Fr. 4'500.-- (Art. 3 des Reglements vom 11. Februar 2004 über die Gerichtsgebühren vor dem Bundesstrafgericht; SR 173.711.32), tragen müssen (Art. 25 Abs. 4 VStrR i.V.m. Art. 66 Abs. 1 BGG).</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