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BV.2010.53 vom 14. Juli 2010</w:t>
      </w:r>
    </w:p>
    <w:p>
      <w:r>
        <w:t>Bundesstrafgericht, 2010-07-14, DE</w:t>
      </w:r>
    </w:p>
    <w:p>
      <w:r>
        <w:rPr>
          <w:b/>
        </w:rPr>
        <w:t xml:space="preserve">Quelle: </w:t>
      </w:r>
      <w:r>
        <w:t>https://mcp.opencaselaw.ch/entscheid/bstger_BV.2010.53</w:t>
      </w:r>
    </w:p>
    <w:p>
      <w:r>
        <w:t>FR: TPF BV.2010.53 du 14 juillet 2010</w:t>
      </w:r>
    </w:p>
    <w:p>
      <w:r>
        <w:t>IT: TPF BV.2010.53 del 14 luglio 2010</w:t>
      </w:r>
    </w:p>
    <w:p>
      <w:pPr>
        <w:pStyle w:val="Heading2"/>
      </w:pPr>
      <w:r>
        <w:t>Regeste</w:t>
      </w:r>
    </w:p>
    <w:p>
      <w:r>
        <w:t>Amtshandlung (Art. 27 Abs. 1 und 3 VStrR). Aufschiebende Wirkung (Art. 28 Abs. 5 VStrR).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Juni 2010 m.w.H.);</w:t>
      </w:r>
    </w:p>
    <w:p>
      <w:r>
        <w:t>- sich zudem die B. zur Bezahlung auferlegte Spruchgebühr auch in dieser Höhe auf eine genügende gesetzliche Grundlage stützen kann (vgl. den Entscheid des Bundesstrafgerichts BE.2005.10 vom 14. September 2005, E. 4 sowie die Botschaft vom 2. Juli 2003 zum Entlastungsprogramm 2003 für den Bundeshaushalt [EP 03], BBl 2003 S. 5615 ff., 5748 und 5760 ff.);</w:t>
      </w:r>
    </w:p>
    <w:p>
      <w:r>
        <w:t>- bei diesem Ausgang des Verfahrens die Beschwerdeführerin die Gerichts- kosten zu tragen hat (Art. 25 Abs. 4 VStrR i.V.m. Art. 66 Abs. 1 BGG), wo- bei die Gerichtsgebühr auf Fr. 500.-- festgesetzt wird (Art. 3 des Regle- ments vom 11. Februar 2004 über die Gerichtsgebühren vor dem Bundes- strafgericht;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