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BV.2010.14 vom 25. Oktober 2010</w:t>
      </w:r>
    </w:p>
    <w:p>
      <w:r>
        <w:t>Bundesstrafgericht, 2010-10-25, DE</w:t>
      </w:r>
    </w:p>
    <w:p>
      <w:r>
        <w:rPr>
          <w:b/>
        </w:rPr>
        <w:t xml:space="preserve">Quelle: </w:t>
      </w:r>
      <w:r>
        <w:t>https://mcp.opencaselaw.ch/entscheid/bstger_BV.2010.14</w:t>
      </w:r>
    </w:p>
    <w:p>
      <w:r>
        <w:t>FR: TPF BV.2010.14 du 25 octobre 2010</w:t>
      </w:r>
    </w:p>
    <w:p>
      <w:r>
        <w:t>IT: TPF BV.2010.14 del 25 ottobre 2010</w:t>
      </w:r>
    </w:p>
    <w:p>
      <w:pPr>
        <w:pStyle w:val="Heading2"/>
      </w:pPr>
      <w:r>
        <w:t>Regeste</w:t>
      </w:r>
    </w:p>
    <w:p>
      <w:r>
        <w:t>Beschlagnahme (Art. 46 VStrR).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Beschlagnahmeverfügung der eidgenössischen Steuerverwaltung vom 9. Juni 2010 betreffend Konto 1 der A. AG bei der Bank C. sei vollständig aufzuheben, mithin auch die Anordnung eines Vorbehaltes gemäss Schreiben der eidgenössischen Steuerver- waltung vom 11. Juni 2010.</w:t>
      </w:r>
    </w:p>
    <w:p>
      <w:r>
        <w:rPr>
          <w:b/>
        </w:rPr>
        <w:t>E. 2</w:t>
      </w:r>
    </w:p>
    <w:p>
      <w:r>
        <w:t>Eventualiter sei der Verwaltungsrat der A. AG zu verpflichten, keine Auszahlungen an B. oder die D. AG in Z. vorzunehmen.</w:t>
      </w:r>
    </w:p>
    <w:p>
      <w:r>
        <w:rPr>
          <w:b/>
        </w:rPr>
        <w:t>E. 3</w:t>
      </w:r>
    </w:p>
    <w:p>
      <w:r>
        <w:t>Subeventualiter sei die auf die D. AG in Z. lautende Namenaktie à CHF 100'000.-- der A. AG zu beschlagnahmen.</w:t>
      </w:r>
    </w:p>
    <w:p>
      <w:r>
        <w:rPr>
          <w:b/>
        </w:rPr>
        <w:t>E. 4</w:t>
      </w:r>
    </w:p>
    <w:p>
      <w:r>
        <w:t>Unter gesetzlicher Kosten- und Entschädigungsfolge.</w:t>
      </w:r>
    </w:p>
    <w:p>
      <w:r>
        <w:t>C. Am 20. Juli 2010 reichte die E. AG der ESTV eine Solidarbürgschaft für all- fällige Steuerschulden von B. ein. Auf Grund dieser Bürgschaft hob die ESTV mit Schreiben vom 22. Juli 2010 die Verfügungsbeschränkung des Kontos 1 der A. AG bei der Bank C. mit sofortiger Wirkung auf und bean- tragt mit Duplik vom 27. Juli 2010 Folgendes (act. 9):</w:t>
      </w:r>
    </w:p>
    <w:p>
      <w:r>
        <w:t>1. Das Beschwerdeverfahren sei abzuschreiben. 2. Die Kosten seien der Beschwerdeführerin aufzuerlegen.</w:t>
      </w:r>
    </w:p>
    <w:p>
      <w:r>
        <w:t>Der A. AG wurde auf Grund der in Aussicht stehenden Gegen- standslosigkeit die Möglichkeit eingeräumt, zur Kostenteilung Stellung zu nehmen (act. 10). Sie beantragt mit Schreiben vom 9. August 2010 Fol- gendes (act. 12):</w:t>
      </w:r>
    </w:p>
    <w:p>
      <w:r>
        <w:t>1. Auf die Erhebung von Gerichtskosten sei zu verzichten. 2. Eventualiter seien die Gerichtskosten vollumfänglich der Eidgenössischen Steuerver- waltung aufzuerlegen. 3. Die A. AG sei für das Beschwerdeverfahren mit CHF 1'977.60 ausseramtlich zu ent- schädigen.</w:t>
      </w:r>
    </w:p>
    <w:p>
      <w:r>
        <w:t>Auf die Ausführungen der Parteien und die eingereichten Akten wird, soweit erforderlich, in den folgenden rechtlichen Erwägungen Bezug genommen.</w:t>
      </w:r>
    </w:p>
    <w:p>
      <w:r>
        <w:t>- 4 -</w:t>
      </w:r>
    </w:p>
    <w:p>
      <w:r>
        <w:t>Die I. Beschwerdekammer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