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BV.2010.1 vom 2. März 2010</w:t>
      </w:r>
    </w:p>
    <w:p>
      <w:r>
        <w:t>Bundesstrafgericht, 2010-03-02, DE</w:t>
      </w:r>
    </w:p>
    <w:p>
      <w:r>
        <w:rPr>
          <w:b/>
        </w:rPr>
        <w:t xml:space="preserve">Quelle: </w:t>
      </w:r>
      <w:r>
        <w:t>https://mcp.opencaselaw.ch/entscheid/bstger_BV.2010.1</w:t>
      </w:r>
    </w:p>
    <w:p>
      <w:r>
        <w:t>FR: TPF BV.2010.1 du 2 mars 2010</w:t>
      </w:r>
    </w:p>
    <w:p>
      <w:r>
        <w:t>IT: TPF BV.2010.1 del 2 marzo 2010</w:t>
      </w:r>
    </w:p>
    <w:p>
      <w:pPr>
        <w:pStyle w:val="Heading2"/>
      </w:pPr>
      <w:r>
        <w:t>Regeste</w:t>
      </w:r>
    </w:p>
    <w:p>
      <w:r>
        <w:t>Beschlagnahme (Art. 46 VStrR).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Januar 2010, auf der Poststelle Z. entgegennahm (act. 2.15);</w:t>
      </w:r>
    </w:p>
    <w:p>
      <w:r>
        <w:t>- die Beschwerdeführerin hiergegen am Mittwoch, 3. Februar 2010, eine Be- schwerde erhob (act. 1, 2.15 und 5);</w:t>
      </w:r>
    </w:p>
    <w:p>
      <w:r>
        <w:t>- die Beschwerdegegnerin am 9. Februar 2010 die Beschwerde zusammen mit ihrer Stellungnahme an die I. Beschwerdekammer des Bundesstrafge- richts weiterleitete und in ihrem Hauptantrag hinsichtlich der Beschwerde auf Nichteintreten schloss (act. 2);</w:t>
      </w:r>
    </w:p>
    <w:p>
      <w:r>
        <w:t>- die Beschwerdeführerin sich in ihrer Replik vom 18. Februar 2010 zur Fra- ge der Fristwahrung äussern konnte (act. 5);</w:t>
      </w:r>
    </w:p>
    <w:p>
      <w:r>
        <w:t>- gemäss Art. 28 Abs. 3 VStrR eine Beschwerde innert drei Tagen, nachdem der Beschwerdeführer von der Amtshandlung Kenntnis erhalten hat, einzu- reichen ist;</w:t>
      </w:r>
    </w:p>
    <w:p>
      <w:r>
        <w:t>- aufgrund des Urteils des Bundesgerichts 1B_63/2009 vom 1. September 2009, E. 2.3, unklar ist, welche gesetzliche Regelung für die Berechnung von Fristen im Bereich von Beschwerden gemäss Art. 26 ff. VStrR zur An- wendung gelangen soll;</w:t>
      </w:r>
    </w:p>
    <w:p>
      <w:r>
        <w:t>- dies vorliegend keine Rolle spielt, da es einem allgemein gültigen Grund- satz entspricht, dass eine nach Tagen festgelegte Beschwerdefrist an dem der Mitteilung des angefochtenen Entscheides folgenden Tag zu laufen be- ginnt, auch wenn der Folgetag ein Samstag, Sonntag oder ein anerkannter Feiertag ist;</w:t>
      </w:r>
    </w:p>
    <w:p>
      <w:r>
        <w:t>- 3 -</w:t>
      </w:r>
    </w:p>
    <w:p>
      <w:r>
        <w:t>- Samstage, Sonntage und Feiertage mithin nur das Ende, nie aber den An- fang einer Frist beeinflussen (vgl. hierzu AMSTUTZ/ARNOLD, Basler Kom- mentar, 2008, Art. 44 BGG N. 17 m.w.H);</w:t>
      </w:r>
    </w:p>
    <w:p>
      <w:r>
        <w:t>- die Frist zur Beschwerdeerhebung vorliegend am Sonntag, 31. Januar 2010, ihren Beginn nahm und am Dienstag, 2. Februar 2010, endete, wes- halb sich die Beschwerdeerhebung am 3. Februar 2010 als verspätet er- weist;</w:t>
      </w:r>
    </w:p>
    <w:p>
      <w:r>
        <w:t>- nach dem Gesagten auf die Beschwerde nicht einzutreten ist, weshalb sich Weiterungen in materieller Hinsicht – so auch eine Fristerstreckung zu Gunsten der Beschwerdeführerin zur Ergänzung ihrer Replik in materieller Hinsicht – erübrigen;</w:t>
      </w:r>
    </w:p>
    <w:p>
      <w:r>
        <w:t>- bei diesem Ausgang des Verfahrens die Beschwerdeführerin die Gerichts- kosten zu tragen hat (Art. 25 Abs. 4 VStrR i.V.m. Art. 66 Abs. 1 BGG);</w:t>
      </w:r>
    </w:p>
    <w:p>
      <w:r>
        <w:t>- die Gerichtsgebühr auf Fr. 500.-- festgesetzt wird (Art. 3 des Reglements vom 11. Februar 2004 über die Gerichtsgebühren vor dem Bundesstrafge- richt; SR 173.711.32), unter Anrechnung des geleisteten Kostenvorschus- ses von Fr. 1'500.--;</w:t>
      </w:r>
    </w:p>
    <w:p>
      <w:r>
        <w:t>- die Bundesstrafgerichtskasse der Beschwerdeführerin Fr. 1'000.-- zurück- zuerstatten hat;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