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BV.2009.5 vom 24. März 2009</w:t>
      </w:r>
    </w:p>
    <w:p>
      <w:r>
        <w:t>Bundesstrafgericht, 2009-03-24, FR</w:t>
      </w:r>
    </w:p>
    <w:p>
      <w:r>
        <w:rPr>
          <w:b/>
        </w:rPr>
        <w:t xml:space="preserve">Quelle: </w:t>
      </w:r>
      <w:r>
        <w:t>https://mcp.opencaselaw.ch/entscheid/bstger_BV.2009.5</w:t>
      </w:r>
    </w:p>
    <w:p>
      <w:r>
        <w:t>FR: TPF BV.2009.5 du 24 mars 2009</w:t>
      </w:r>
    </w:p>
    <w:p>
      <w:r>
        <w:t>IT: TPF BV.2009.5 del 24 marzo 2009</w:t>
      </w:r>
    </w:p>
    <w:p>
      <w:pPr>
        <w:pStyle w:val="Heading2"/>
      </w:pPr>
      <w:r>
        <w:t>Regeste</w:t>
      </w:r>
    </w:p>
    <w:p>
      <w:r>
        <w:t>Séquestre (art. 46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Un émolument de Fr. 200.-- est mis à la charge du plaignant.</w:t>
      </w:r>
    </w:p>
    <w:p>
      <w:r>
        <w:t>Bellinzone, le 25 mars 2009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- Commission fédérale des maisons de jeu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