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BV.2009.3 vom 13. März 2009</w:t>
      </w:r>
    </w:p>
    <w:p>
      <w:r>
        <w:t>Bundesstrafgericht, 2009-03-13, DE</w:t>
      </w:r>
    </w:p>
    <w:p>
      <w:r>
        <w:rPr>
          <w:b/>
        </w:rPr>
        <w:t xml:space="preserve">Quelle: </w:t>
      </w:r>
      <w:r>
        <w:t>https://mcp.opencaselaw.ch/entscheid/bstger_BV.2009.3</w:t>
      </w:r>
    </w:p>
    <w:p>
      <w:r>
        <w:t>FR: TPF BV.2009.3 du 13 mars 2009</w:t>
      </w:r>
    </w:p>
    <w:p>
      <w:r>
        <w:t>IT: TPF BV.2009.3 del 13 marzo 2009</w:t>
      </w:r>
    </w:p>
    <w:p>
      <w:pPr>
        <w:pStyle w:val="Heading2"/>
      </w:pPr>
      <w:r>
        <w:t>Regeste</w:t>
      </w:r>
    </w:p>
    <w:p>
      <w:r>
        <w:t>Beschlagnahme (Art. 26 Abs. 1 i.V.m. Art. 46 VStrR)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Februar 2009 eine Nachfrist bis 6. März 2009 zur Zahlung des Kosten- vorschusses angesetzt wurde, wobei er darauf hingewiesen wurde, dass auf die Beschwerde nicht eingetreten werde, wenn der Kostenvorschuss auch innerhalb dieser Nachfrist nicht geleistet werde (act. 5);</w:t>
      </w:r>
    </w:p>
    <w:p>
      <w:r>
        <w:t>- innerhalb dieser Frist bei der I. Beschwerdekammer betreffend des Kosten- vorschusses kein Zahlungseingang vermerkt werden konnte;</w:t>
      </w:r>
    </w:p>
    <w:p>
      <w:r>
        <w:t>- auf die Beschwerde somit androhungsgemäss nicht einzutreten ist (Art. 25 Abs. 4 VStrR i.V.m. Art. 62 Abs. 3 BGG);</w:t>
      </w:r>
    </w:p>
    <w:p>
      <w:r>
        <w:t>- der Beschwerdeführer demnach als unterliegende Partei die Verfahrensko- sten zu tragen hat (Art. 25 Abs. 4 VStrR i.V.m. Art. 66 Abs. 1 BGG), wobei die Gerichtsgebühr auf Fr. 200.-- festzusetzen ist (Art. 3 des Reglements vom 11. Februar 2004 über die Gerichtsgebühren vor dem Bundesstrafge- richt; SR 173.711.32);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