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BV.2009.29 vom 15. Juli 2009</w:t>
      </w:r>
    </w:p>
    <w:p>
      <w:r>
        <w:t>Bundesstrafgericht, 2009-07-15, DE</w:t>
      </w:r>
    </w:p>
    <w:p>
      <w:r>
        <w:rPr>
          <w:b/>
        </w:rPr>
        <w:t xml:space="preserve">Quelle: </w:t>
      </w:r>
      <w:r>
        <w:t>https://mcp.opencaselaw.ch/entscheid/bstger_BV.2009.29</w:t>
      </w:r>
    </w:p>
    <w:p>
      <w:r>
        <w:t>FR: TPF BV.2009.29 du 15 juillet 2009</w:t>
      </w:r>
    </w:p>
    <w:p>
      <w:r>
        <w:t>IT: TPF BV.2009.29 del 15 luglio 2009</w:t>
      </w:r>
    </w:p>
    <w:p>
      <w:pPr>
        <w:pStyle w:val="Heading2"/>
      </w:pPr>
      <w:r>
        <w:t>Regeste</w:t>
      </w:r>
    </w:p>
    <w:p>
      <w:r>
        <w:t>Rechtshilfe (Art. 30 Abs. 5 VStrR)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Juli 2009 sich über die Vorgehensweise der EZV wunderte und aus- führte, dass sie die Akteneinsicht bloss verweigert habe, weil sie davon ausgegangen sei, dass es sich im vorliegenden Fall um eine Übertretung handle (act. 5);</w:t>
      </w:r>
    </w:p>
    <w:p>
      <w:r>
        <w:t>- die Steuerverwaltung des Kantons Bern vom heutigen Kenntnisstand des Sachverhalts ausgehend ausführte, dass dem Gesuch der EZV betreffend die Gewährung um Einsicht bzw. Edition der Steuerakten von A. und der</w:t>
      </w:r>
    </w:p>
    <w:p>
      <w:r>
        <w:t>- 3 -</w:t>
      </w:r>
    </w:p>
    <w:p>
      <w:r>
        <w:t>B. GmbH für die letzten fünf Steuerperioden nichts entgegenstehe (act. 5);</w:t>
      </w:r>
    </w:p>
    <w:p>
      <w:r>
        <w:t>- das Verfahren somit gegenstandslos geworden und als erledigt von der Geschäftskontrolle abzuschreiben ist;</w:t>
      </w:r>
    </w:p>
    <w:p>
      <w:r>
        <w:t>- bei diesem Ausgang des Verfahrens keine Kosten verlegt werden (Art. 25 Abs. 4 VStrR i.V.m. Art. 66 Abs. 4 BGG);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