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BV.2008.7 vom 14. Juli 2008</w:t>
      </w:r>
    </w:p>
    <w:p>
      <w:r>
        <w:t>Bundesstrafgericht, 2008-07-14, DE</w:t>
      </w:r>
    </w:p>
    <w:p>
      <w:r>
        <w:rPr>
          <w:b/>
        </w:rPr>
        <w:t xml:space="preserve">Quelle: </w:t>
      </w:r>
      <w:r>
        <w:t>https://mcp.opencaselaw.ch/entscheid/bstger_BV.2008.7</w:t>
      </w:r>
    </w:p>
    <w:p>
      <w:r>
        <w:t>FR: TPF BV.2008.7 du 14 juillet 2008</w:t>
      </w:r>
    </w:p>
    <w:p>
      <w:r>
        <w:t>IT: TPF BV.2008.7 del 14 luglio 2008</w:t>
      </w:r>
    </w:p>
    <w:p>
      <w:pPr>
        <w:pStyle w:val="Heading2"/>
      </w:pPr>
      <w:r>
        <w:t>Regeste</w:t>
      </w:r>
    </w:p>
    <w:p>
      <w:r>
        <w:t>Auskunftsbegehren (Art. 40 VStrR)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Juli 2007, BB.2006.52 vom 20. Februar 2007 E. 2.2).</w:t>
      </w:r>
    </w:p>
    <w:p>
      <w:r>
        <w:t>1.4 Der Beschwerdeführerin steht somit gegen die Editionsaufforderung keine Beschwerdemöglichkeit zu; sie ist vielmehr verpflichtet, die von der Unter- suchungsbehörde verlangten Unterlagen herauszugeben. Sie ist jedoch be- rechtigt gegen die Durchsuchung der Unterlagen Einsprache im Sinne von Art. 50 Abs. 3 VStrR zu erheben und im Hinblick auf eine beabsichtigte Durchsuchung die Unterlagen versiegelt einzureichen. Die Untersuchungs- behörde hat hierauf bei der I. Beschwerdekammer ein Gesuch um Entsie- gelung zu stellen. Über die Zulässigkeit der Durchsuchung des Dossiers betreffend den Sanktionsentscheid der Beschwerdeführerin vom 30. Juni 2006 hat die I. Beschwerdekammer anschliessend im Rahmen eines Ent- siegelungsverfahrens nach Art. 50 VStrR zu entscheiden.</w:t>
      </w:r>
    </w:p>
    <w:p>
      <w:r>
        <w:t>1.5 Der angefochtene Entscheid ist nach dem Gesagten von Amtes wegen auf- zuheben. Die Beschwerdeführerin hat der Untersuchungsbehörde die ver- langten Unterlagen herauszugeben. Sofern sie gegen deren Durchsuchung Einsprache erhebt, hat die Untersuchungsbehörde ein Entsiegelungsver- fahren nach Art. 50 VStrR einzuleiten.</w:t>
      </w:r>
    </w:p>
    <w:p>
      <w:r>
        <w:t>An dieser Stelle anzumerken ist, dass grundsätzlich auch im Anwendungs- bereich des Verwaltungsstrafrechts – sofern notwendig – eine Anpassung der Rechtsmittelbelehrungen bei Editionsaufforderungen vorzunehmen ist, wonach gegen die Edition bzw. die Durchsuchung von Papieren anstelle der Beschwerde unverzüglich Einsprache erhoben und die Siegelung der</w:t>
      </w:r>
    </w:p>
    <w:p>
      <w:r>
        <w:t>- 6 -</w:t>
      </w:r>
    </w:p>
    <w:p>
      <w:r>
        <w:t>Papiere verlangt werden könne und in diesem Fall die I. Beschwerdekam- mer über die Zulässigkeit der Durchsuchung entscheide.</w:t>
      </w:r>
    </w:p>
    <w:p>
      <w:r>
        <w:t>2. Da die Beschwerdeführerin aufgrund der nicht korrekten Rechtsmittelbeleh- rung, den Beschwerdeweg nach Art. 27 VStrR einschlug, rechtfertigt es sich, von der Erhebung von Gerichtskosten abzusehen (Art. 25 Abs. 4 VStrR i.V.m. Art. 66 Abs. 1 Satz 2 BGG). Die Bundesstrafgerichtskasse wird angewiesen, der Beschwerdeführerin den geleisteten Kostenvor- schuss von Fr. 1'500.-- zurückzuerstatten.</w:t>
      </w:r>
    </w:p>
    <w:p>
      <w:r>
        <w:t>- 7 -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