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BV.2008.18 vom 23. Januar 2009</w:t>
      </w:r>
    </w:p>
    <w:p>
      <w:r>
        <w:t>Bundesstrafgericht, 2009-01-23, DE</w:t>
      </w:r>
    </w:p>
    <w:p>
      <w:r>
        <w:rPr>
          <w:b/>
        </w:rPr>
        <w:t xml:space="preserve">Quelle: </w:t>
      </w:r>
      <w:r>
        <w:t>https://mcp.opencaselaw.ch/entscheid/bstger_BV.2008.18</w:t>
      </w:r>
    </w:p>
    <w:p>
      <w:r>
        <w:t>FR: TPF BV.2008.18 du 23 janvier 2009</w:t>
      </w:r>
    </w:p>
    <w:p>
      <w:r>
        <w:t>IT: TPF BV.2008.18 del 23 gennaio 2009</w:t>
      </w:r>
    </w:p>
    <w:p>
      <w:pPr>
        <w:pStyle w:val="Heading2"/>
      </w:pPr>
      <w:r>
        <w:t>Regeste</w:t>
      </w:r>
    </w:p>
    <w:p>
      <w:r>
        <w:t>Hausdurchsuchung und Beschlagnahme (Art. 26 Abs. 1 i.V.m. Art. 46 und Art. 48 Abs. 1 VStrR)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2004,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