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BV.2008.13 vom 10. Dezember 2008</w:t>
      </w:r>
    </w:p>
    <w:p>
      <w:r>
        <w:t>Bundesstrafgericht, 2008-12-10, DE</w:t>
      </w:r>
    </w:p>
    <w:p>
      <w:r>
        <w:rPr>
          <w:b/>
        </w:rPr>
        <w:t xml:space="preserve">Quelle: </w:t>
      </w:r>
      <w:r>
        <w:t>https://mcp.opencaselaw.ch/entscheid/bstger_BV.2008.13</w:t>
      </w:r>
    </w:p>
    <w:p>
      <w:r>
        <w:t>FR: TPF BV.2008.13 du 10 décembre 2008</w:t>
      </w:r>
    </w:p>
    <w:p>
      <w:r>
        <w:t>IT: TPF BV.2008.13 del 10 dicembre 2008</w:t>
      </w:r>
    </w:p>
    <w:p>
      <w:pPr>
        <w:pStyle w:val="Heading2"/>
      </w:pPr>
      <w:r>
        <w:t>Regeste</w:t>
      </w:r>
    </w:p>
    <w:p>
      <w:r>
        <w:t>Beschlagnahme (Art. 26 Abs. 1 i.V.m. Art. 46 VStrR)</w:t>
      </w:r>
    </w:p>
    <w:p>
      <w:pPr>
        <w:pStyle w:val="Heading2"/>
      </w:pPr>
      <w:r>
        <w:t>Erwägungen</w:t>
      </w:r>
    </w:p>
    <w:p>
      <w:r>
        <w:rPr>
          <w:b/>
        </w:rPr>
        <w:t>E. 24</w:t>
      </w:r>
    </w:p>
    <w:p>
      <w:r>
        <w:t>Juni 2008 teilte die ESTV der A. AG mit, dass diesem Begehren nicht entsprochen werden könne (act. 2.3). Mit zwei Schreiben vom 18. Juli 2008 sowie vom 5. August 2008 verlangte die A. AG erneut die Freigabe des be- schlagnahmten Kontos (act. 2.4 und 2.5). Mit Verfügung vom 1. September 2008 trat die ESTV auf den Antrag um Freigabe des Kontos nicht ein, da die Beschlagnahmeverfügung nicht in Wiedererwägung zu ziehen sei (act. 2.6)</w:t>
      </w:r>
    </w:p>
    <w:p>
      <w:r>
        <w:t>C. Mit Eingabe vom 5. September 2008 an die ESTV erhob die A. AG gegen diese Verfügung Beschwerde und forderte die sofortige Aufhebung der Be- schlagnahme (act. 1). Die ESTV leitete die Beschwerde am 11. September 2008 zusammen mit ihrer Stellungnahme an die I. Beschwerdekammer weiter und beantragte die kostenfällige Abweisung der Beschwerde (act. 2).</w:t>
      </w:r>
    </w:p>
    <w:p>
      <w:r>
        <w:t>In ihrer Beschwerdereplik vom 9. Oktober 2008 beantragte die A. AG die vollumfängliche Gutheissung der Beschwerde und die sofortige Aufhebung der Beschlagnahme der Vermögenswerte auf dem auf sie lautenden Konto Nr. 1 bei der Bank C., unter Kosten- und Entschädigungsfolgen zu Lasten der Beschwerdegegnerin (act. 9).</w:t>
      </w:r>
    </w:p>
    <w:p>
      <w:r>
        <w:t>- 3 -</w:t>
      </w:r>
    </w:p>
    <w:p>
      <w:r>
        <w:t>In ihrer Duplik vom 31. Oktober 2008 hielt die ESTV an ihren Anträgen ge- mäss Stellungnahme vom 11. September 2008 fest (act. 11).</w:t>
      </w:r>
    </w:p>
    <w:p>
      <w:r>
        <w:t>Die Duplik wurde der A. AG am 3. November 2008 zur Kenntnis gebracht (act. 12).</w:t>
      </w:r>
    </w:p>
    <w:p>
      <w:r>
        <w:t>Mit unaufgeforderter Eingabe vom 9. Dezember 2008 reichte die A. AG weitere Unterlagen zu den Akten (act. 13 und 13.1).</w:t>
      </w:r>
    </w:p>
    <w:p>
      <w:r>
        <w:t>Auf die Ausführungen der Parteien und die eingereichten Akten wird, so- weit erforderlich, in den folgenden rechtlichen Erwägungen Bezug genom- men.</w:t>
      </w:r>
    </w:p>
    <w:p>
      <w:r>
        <w:t>Die I. Beschwerdekammer zieht in Erwägung:</w:t>
      </w:r>
    </w:p>
    <w:p>
      <w:r>
        <w:t>1.</w:t>
      </w:r>
    </w:p>
    <w:p>
      <w:r>
        <w:t>1.1 Gegen Zwangsmassnahmen im Sinne der Art. 45 ff. VStrR und damit zu- sammenhängenden Amtshandlungen kann bei der I. Beschwerdekammer des Bundesstrafgerichts Beschwerde geführt werden (Art. 26 Abs. 1 VStrR i.V.m. Art. 28 Abs. 1 lit. d SGG und Art. 9 Abs. 2 des Reglements vom 20. Juni 2006 für das Bundesstrafgericht;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 handlung berührt ist und ein schutzwürdiges Interesse an deren Aufhebung oder Änderung hat (Art. 28 Abs. 1 VStrR). Mit der Beschwerde kann die Verletzung von Bundesrecht, die unrichtige oder unvollständige Feststel- lung des Sachverhalts oder die Unangemessenheit gerügt werden (Art. 28 Abs. 2 VStrR).</w:t>
      </w:r>
    </w:p>
    <w:p>
      <w:r>
        <w:t>1.2 Die Beschwerdeführerin ist als Inhaberin des weiterhin beschlagnahmten Kontos berührt und hat ein schutzwürdiges Interesse an der Aufhebung bzw. Änderung der angefochtenen Verfügung. Auf die im Übrigen frist- und formgerecht eingereichte Beschwerde ist daher einzutreten.</w:t>
      </w:r>
    </w:p>
    <w:p>
      <w:r>
        <w:t>- 4 -</w:t>
      </w:r>
    </w:p>
    <w:p>
      <w:r>
        <w:t>2.</w:t>
      </w:r>
    </w:p>
    <w:p>
      <w:r>
        <w:t>2.1 Art. 191 Abs. 1 DBG i.V.m. Art. 46 Abs. 1 lit. b VStrR ermächtigt die Be- schwerdegegnerin als zuständige Untersuchungsbehörde (im Rahmen der besonderen Fiskaluntersuchung bei schweren Steuerwiderhandlungen) zur prozessualen Beschlagnahme von Gegenständen und anderen Vermö- genswerten, die voraussichtlich der Einziehung unterliegen. Der Einziehung unterliegen u. a. Vermögenswerte, die durch eine Straftat erlangt worden sind (Art. 70 Abs. 1 StGB). Im Gegensatz zur endgültigen materiellrechtli- chen Einziehung stellt die Beschlagnahme lediglich eine von Bundesrechts wegen vorgeschriebene provisorische „konservatorische“ prozessuale Massnahme zur vorläufigen Sicherstellung der allenfalls der Einziehung un- terliegenden Vermögenswerte dar (nebst anderen TPF BV.2007.9 vom 7. November 2007 E. 2, BV.2007.1 vom 22. März 2007 E. 2.2, BV.2006.22 vom 13. Juli 2006 E. 3.2, BV.2005.32 vom 6. Dezember 2005 E. 4.1; TRECHSEL ET AL., Schweizerisches Strafgesetzbuch Praxiskommentar, Zü- rich/St. Gallen 2008, Vor Art. 69 StGB N. 4; HAUSER/SCHWERI/HARTMANN, Schweizerisches Strafprozessrecht, 6. Aufl., Basel 2005, S. 344 f. N. 18). Sie greift dem Entscheid über die endgültige Einziehung nicht vor (HAURI, Verwaltungsstrafrecht, Bern 1998, S. 113), zumal die Rechte anspruchsbe- rechtigter Dritter gemäss dem im Verwaltungsstrafrecht ebenfalls anwend- baren Art. 70 Abs. 2 StGB ausdrücklich vorbehalten sind (Art. 2 VStrR; SCHMID, Kommentar Einziehung, Organisiertes Verbrechen, Geldwäsche- rei, Band I, 2. Aufl., Zürich, 2007, Art. 70 - 72 StGB N. 142). Vermögens- werte, welche gemäss Art. 70 Abs. 1 StGB allenfalls der Einziehung unter- liegen sind alle wirtschaftlichen Vorteile, die sich rechnerisch ermitteln las- sen und die direkt oder indirekt durch die strafbare Handlung erlangt wor- den sind; bei der Steuerhinterziehung besteht der sich aus dem Delikt er- gebende Vermögensvorteil im Gegenwert der hinterzogenen Steuern (vgl. zum Ganzen BGE 120 IV 365 E. 1 S. 366 f.).</w:t>
      </w:r>
    </w:p>
    <w:p>
      <w:r>
        <w:t>2.2 Die Anordnung bzw. die Aufrechterhaltung einer Beschlagnahme setzt ei- nen (fort)bestehenden hinreichenden, objektiv begründeten Tatverdacht gegenüber dem Inhaber des betroffenen Gegenstandes bzw. der betroffe- nen Vermögenswerte oder einem Dritten voraus (TPF BV.2007.1 vom 22. März 2007 E. 2.2). In Abgrenzung zum dringenden setzt dabei der hin- reichende Tatverdacht gerade nicht voraus, dass Beweise oder Indizien be- reits für eine erhebliche oder hohe Wahrscheinlichkeit einer Verurteilung sprechen. Der hinreichende Tatverdacht unterscheidet sich damit vom dringenden vor allem durch ein graduelles Element hinsichtlich der Beweis- lage. Dabei muss der ersuchenden Behörde auch in der Sachverhaltsdar- stellung ein geringerer Konkretisierungsgrad zugebilligt werden. Zu beach- ten ist ferner, dass auch mit Bezug auf den hinreichenden Tatverdacht die</w:t>
      </w:r>
    </w:p>
    <w:p>
      <w:r>
        <w:t>- 5 -</w:t>
      </w:r>
    </w:p>
    <w:p>
      <w:r>
        <w:t>vom Bundesgericht entwickelte Rechtsprechung sinngemäss gelten muss, wonach sich der Tatverdacht im Verlaufe des Verfahrens zu konkretisieren und dergestalt zu verdichten hat, dass eine Verurteilung immer wahrschein- licher wird. Die Verdachtslage unterliegt mit anderen Worten einer umso strengeren Überprüfung, „je weiter das Verfahren fortgeschritten ist“ (vgl. zum Ganzen TPF BE.2006.7 vom 20. Februar 2007 E. 3.1).</w:t>
      </w:r>
    </w:p>
    <w:p>
      <w:r>
        <w:t>Wie alle Zwangsmassnahmen darf sie zudem nur so weit angeordnet und so lange aufrechterhalten werden, als sie verhältnismässig und im Hinblick auf ihren Zweck notwendig ist (TPF BV.2005.32 vom 6. Dezember 2005 E. 2; PIQUEREZ, Traité de procédure pénale suisse, 2. Aufl., Genf - Zürich - Basel 2006, N. 924 f.).</w:t>
      </w:r>
    </w:p>
    <w:p>
      <w:r>
        <w:t>2.3 Ausführungen zum Tatverdacht gegenüber B. für die dem vorliegenden Verfahren zugrunde liegenden Delikte ergeben sich weder aus den Akten des früheren Verfahrens (BV.2006.66), noch bringt die Beschwerdegegne- rin im Schriftenwechsel des vorliegenden Verfahrens irgendwelche konkre- ten Anhaltspunkte diesbezüglich vor. Vor allem aber ergeben sich keinerlei Angaben zum Zusammenhang zwischen dem Konto der Beschwerdeführe- rin und den Delikten, die B. vorgeworfen werden. Bezüglich des Tatver- dachts bleiben die einzigen in den zahlreichen Unterlagen und Rechts- schriften vorhandenen Angaben diejenigen in der Ermächtigungsverfügung des Vorstehers des Eidg. Finanzdepartements zur Eröffnung einer Unter- suchung vom 11. April 2006 (act. 2.1). Danach besteht gegen die D. AG und gegen B. der Verdacht, u. a. durch Nichtverbuchen von Wertschriften- gewinnen, durch verdeckte Gewinnausschüttungen und durch den Aufbau von Steuerhinterziehungskonstrukten im In- und Ausland fortgesetzt schwere Steuerwiderhandlungen begangen zu haben. Nach über 2 ½ Jah- ren Untersuchung ist jedoch eine weitere Konkretisierung des Tatverdachts zur Aufrechterhaltung von Zwangsmassnahmen unumgänglich. Ausserdem ist festzuhalten, dass trotz der langen Untersuchungsdauer von der Be- schwerdegegnerin auch keine Verdichtung des Tatverdachts dargetan wird.</w:t>
      </w:r>
    </w:p>
    <w:p>
      <w:r>
        <w:t>2.4 Der Betrag von EUR 500'000.-- wird von der Beschwerdegegnerin aus for- mellen Gründen dem Vermögen von B. zugeschlagen, wobei jegliche Aus- führungen zur Verhältnismässigkeit unterlassen werden. Aus den verschie- denen Eingaben der Beschwerdeführerin ergibt sich, dass als wirtschaftlich Berechtigter am Konto der Beschwerdeführerin nur solange B. eingetragen sein sollte, als das Konto kein Haben aufwies, und dies mit der Einzahlung von EUR 500'000.-- sofort zugunsten von E. geändert wurde (Dossier BV.2006.66 act. 1, S. 2). Diese an und für sich glaubwürdigen Angaben sprechen eher dafür, dass eine wirtschaftliche Berechtigung seitens B. an</w:t>
      </w:r>
    </w:p>
    <w:p>
      <w:r>
        <w:t>- 6 -</w:t>
      </w:r>
    </w:p>
    <w:p>
      <w:r>
        <w:t>den beschlagnahmten Vermögenswerten nie bestand. Andererseits ist der Beschwerdegegnerin zuzugestehen, dass die widersprüchlichen und damit nicht sehr glaubwürdigen Angaben der Beschwerdeführerin zur Zweckbe- stimmung der Einzahlung nicht geeignet sind, diesbezüglich Klarheit zu schaffen. Die Verpflichtung der Beschwerdegegnerin, der I. Beschwerde- kammer die Basis für eine Beurteilung der Verhältnismässigkeit der Zwangsmassnahme zu liefern, ist damit jedoch nicht entfallen. Hinzuweisen ist im Zusammenhang mit dem Grundsatz der Verhältnismässigkeit insbe- sondere auch auf das in Art. 6 Ziff. 1 EMRK und Art. 29 Abs. 1 BV veran- kerte Beschleunigungsgebot, wonach ein Strafprozess innerhalb angemes- sener Frist erledigt werden muss. Ungerechtfertigte Verfahrensverzögerun- gen sind geeignet, die Rechtmässigkeit von Zwangsmassnahmen wie der Beschlagnahme in Frage zu stellen, und können zu einer Freigabe der be- schlagnahmten Vermögenswerte führen. Dies trifft zu, wenn die Verfah- rensverzögerung besonders schwer wiegt und die Strafverfolgungsbehör- den erkennen lassen, dass sie nicht gewillt oder nicht in der Lage sind, die Untersuchung mit der für Verfahren, in welchen Zwangsmassnahmen ver- hängt wurden, erforderlichen Beschleunigung zu führen und zum Ab- schluss zu bringen (vgl. hierzu in Haftfällen TPF BH.2005.9 vom 4. Mai 2005 E. 5.2; HAUSER/SCHWERI/HARTMANN, a.a.O., S. 272 f. N. 10a mit Hin- weis auf BGE 128 I 149 E. 2.2 S. 151 f.).</w:t>
      </w:r>
    </w:p>
    <w:p>
      <w:r>
        <w:t>2.5 Die Beschwerdegegnerin führt in der angefochtenen Verfügung u. a. aus, dass sich seit dem letzten Entscheid der I. Beschwerdekammer vom 6. No- vember 2006 die Umstände nicht geändert hätten bzw. dass die Be- schwerdeführerin weder Tatsachen noch Beweismittel namhaft mache, die sie nicht bereits in früheren Verfahren vorgebracht habe. Die ursprüngliche Beschlagnahmeverfügung sei daher nicht in Wiedererwägung zu ziehen.</w:t>
      </w:r>
    </w:p>
    <w:p>
      <w:r>
        <w:t>Es trifft zu, dass die I. Beschwerdekammer in ihrem letzten Entscheid vom 6. November 2006 die fragliche Beschlagnahme lediglich unter dem Aspekt der Wiedererwägung prüfte, dies geschah jedoch deshalb, weil es die Be- schwerdeführerin offenbar verpasst hatte, die ursprüngliche Beschlagnah- meverfügung innerhalb der gesetzlichen Rechtsmittelfrist anzufechten, und deshalb mit einem weiteren Gesuch um Freigabe der beschlagnahmten Vermögenswerte an die Beschwerdegegnerin gelangte (TPF BV.2006.66 vom 6. November 2006 E. 3.1 und 3.2). Vorbehältlich solcher Ausnahme- fälle oder von Fällen des Missbrauchs ist die Person, deren Vermögens- werte beschlagnahmt sind, jederzeit berechtigt, die Freigabe der mit Be- schlag belegten Vermögenswerte zu beantragen und gegen einen negati- ven Entscheid gegebenenfalls an die zuständige Rechtsmittelinstanz zu ge- langen (TPF BV.2005.32 vom 6. Dezember 2005 E. 2). Insbesondere kann</w:t>
      </w:r>
    </w:p>
    <w:p>
      <w:r>
        <w:t>- 7 -</w:t>
      </w:r>
    </w:p>
    <w:p>
      <w:r>
        <w:t>es im Rahmen der Prüfung, ob eine Zwangsmassnahme aufrechterhalten werden kann, nicht genügen, lediglich darauf hinzuweisen, dass sich seit der ursprünglichen Anordnung der Zwangsmassnahme nichts geändert ha- be. Über den momentanen Stand der Untersuchung befindet sich die I. Be- schwerdekammer im Ungewissen. Bekannt ist lediglich, dass das Verfah- ren gegen die Beschuldigten B. und D. AG seit nunmehr zweieinhalb Jah- ren andauert.</w:t>
      </w:r>
    </w:p>
    <w:p>
      <w:r>
        <w:t>3. Die Begründung der angefochtenen Verfügung erweist sich insgesamt als ungenügend. Namentlich ist es der I. Beschwerdekammer in ihrer Rolle als Beschwerdeinstanz weder anhand der Begründung der Verfügung selbst noch anhand der im Rahmen des Beschwerdeverfahrens gemachten Aus- führungen möglich, die Rechtmässigkeit der Aufrechterhaltung der Be- schlagnahme sachgerecht zu überprüfen. Nach dem Gesagten ist die an- gefochtene Verfügung daher aufzuheben und es ist das Verfahren zu neuer Entscheidung im Sinne der Erwägungen an die Beschwerdegegnerin zu- rückzuweisen, wobei eine solche bis spätestens Ende Januar des kom- menden Jahres zu erwarten ist.</w:t>
      </w:r>
    </w:p>
    <w:p>
      <w:r>
        <w:t>4.</w:t>
      </w:r>
    </w:p>
    <w:p>
      <w:r>
        <w:t>4.1 Bei diesem Ausgang des Verfahrens werden keine Gerichtskosten erhoben (Art. 25 Abs. 4 VStrR i.V.m. Art. 66 Abs. 4 BGG). Die Bundesstrafgerichts- kasse hat daher der Beschwerdeführerin den geleisteten Kostenvorschuss von Fr. 1'500.-- zurückzuerstatten.</w:t>
      </w:r>
    </w:p>
    <w:p>
      <w:r>
        <w:t>4.2 Mangels nachgewiesener notwendiger Kosten hat die Beschwerdegegnerin der obsiegenden Beschwerdeführerin keine Entschädigung zu leisten (Art. 25 Abs. 4 VStrR i.V.m. Art. 68 Abs. 1 und 2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