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BV.2008.10 vom 4. Dezember 2008</w:t>
      </w:r>
    </w:p>
    <w:p>
      <w:r>
        <w:t>Bundesstrafgericht, 2008-12-04, DE</w:t>
      </w:r>
    </w:p>
    <w:p>
      <w:r>
        <w:rPr>
          <w:b/>
        </w:rPr>
        <w:t xml:space="preserve">Quelle: </w:t>
      </w:r>
      <w:r>
        <w:t>https://mcp.opencaselaw.ch/entscheid/bstger_BV.2008.10</w:t>
      </w:r>
    </w:p>
    <w:p>
      <w:r>
        <w:t>FR: TPF BV.2008.10 du 4 décembre 2008</w:t>
      </w:r>
    </w:p>
    <w:p>
      <w:r>
        <w:t>IT: TPF BV.2008.10 del 4 dicembre 2008</w:t>
      </w:r>
    </w:p>
    <w:p>
      <w:pPr>
        <w:pStyle w:val="Heading2"/>
      </w:pPr>
      <w:r>
        <w:t>Regeste</w:t>
      </w:r>
    </w:p>
    <w:p>
      <w:r>
        <w:t>Akteneinsicht (Art. 114 Abs. 2 DBG)</w:t>
      </w:r>
    </w:p>
    <w:p>
      <w:pPr>
        <w:pStyle w:val="Heading2"/>
      </w:pPr>
      <w:r>
        <w:t>Erwägungen</w:t>
      </w:r>
    </w:p>
    <w:p>
      <w:r>
        <w:rPr>
          <w:b/>
        </w:rPr>
        <w:t>E. 12</w:t>
      </w:r>
    </w:p>
    <w:p>
      <w:r>
        <w:t>Dezember 2006 (act. 1.3, Beilage 2). Mit Schreiben vom 17. Juni 2008 wies die ASU dieses Begehren ab (act. 1.3, Beilage 1), worauf A. und die B. AG am 23. Juni 2008 beim Direktor der ESTV Beschwerde führten, mit dem Antrag, Einsicht in die entsprechenden Protokolle nehmen zu dürfen (act. 1.3). Die Beschwerde wurde vom Direktor der ESTV am 23. Juli 2008 abgewiesen (act 1.1).</w:t>
      </w:r>
    </w:p>
    <w:p>
      <w:r>
        <w:t>C. Gegen diesen Entscheid gelangten A. und die B. AG mit Beschwerde vom 28. Juli 2008 an die I. Beschwerdekammer des Bundesstrafgerichts mit den Anträgen, der angefochtene Entscheid sei aufzuheben und der untersu- chende Beamte der ASU anzuweisen, die vollständigen Protokolle der Ein- vernahmen von D. vom 26. Oktober 2005 und 12. Dezember 2006 den Be- schwerdeführern zur Einsichtnahme vorzulegen, unter Kosten- und Ent- schädigungsfolgen (act. 1). Mit Eingabe vom 14. August 2008 ergänzten A. und die B. AG ihre Beschwerde vom 28. Juli 2008 (act. 5).</w:t>
      </w:r>
    </w:p>
    <w:p>
      <w:r>
        <w:t>In der Beschwerdeantwort vom 26. August 2008 beantragte die ESTV, die Beschwerde sei kostenfällig abzuweisen (act. 7).</w:t>
      </w:r>
    </w:p>
    <w:p>
      <w:r>
        <w:t>- 3 -</w:t>
      </w:r>
    </w:p>
    <w:p>
      <w:r>
        <w:t>In der Beschwerdereplik vom 25. September 2008 hielten A. und die B. AG an ihren in der Beschwerde vom 28. Juli 2008 gestellten Anträgen unver- ändert fest (act. 11). Die Beschwerdereplik wurde der ESTV am 26. Sep- tember 2008 zur Kenntnis gebracht (act. 12).</w:t>
      </w:r>
    </w:p>
    <w:p>
      <w:r>
        <w:t>Auf die Ausführungen der Parteien und die eingereichten Akten wird, so- weit erforderlich, in den folgenden rechtlichen Erwägungen eingegangen.</w:t>
      </w:r>
    </w:p>
    <w:p>
      <w:r>
        <w:t>Die I. Beschwerdekammer zieht in Erwägung:</w:t>
      </w:r>
    </w:p>
    <w:p>
      <w:r>
        <w:t>1.</w:t>
      </w:r>
    </w:p>
    <w:p>
      <w:r>
        <w:t>1.1 Gemäss Art. 191 Abs. 1 DBG richtet sich das Verfahren wegen des Ver- dachts schwerer Steuerwiderhandlungen gegenüber dem Täter, dem Gehil- fen und dem Anstifter nach den Artikeln 19 - 50 VStrR.</w:t>
      </w:r>
    </w:p>
    <w:p>
      <w:r>
        <w:t>Gegen einen Beschwerdeentscheid im Sinne von Art. 27 Abs. 2 VStrR kann bei der I. Beschwerdekammer des Bundesstrafgerichts Beschwerde geführt werden (Art. 27 Abs. 3 VStrR i.V.m. Art. 28 Abs. 1 lit. d SGG sowie Art. 9 Abs. 2 des Reglements vom 20. Juni 2006 für das Bundesstrafge- richt; SR 173.710). Zur Beschwerde ist berechtigt, wer durch den Be- schwerdeentscheid berührt ist und ein schutzwürdiges Interesse an dessen Aufhebung oder Änderung hat (Art. 28 Abs. 1 VStrR). Die Beschwerde ge- gen einen Beschwerdeentscheid ist innert drei Tagen seit dessen Eröff- nung bei der zuständigen Behörde schriftlich mit Antrag und kurzer Be- gründung einzureichen (Art. 28 Abs. 3 VStrR). Während mit der Beschwer- de gegen Zwangsmassnahmen auch die unrichtige oder unvollständige Feststellung des rechtserheblichen Sachverhalts und die Unangemessen- heit gerügt werden kann (Art. 28 Abs. 2 VStrR), ist die Beschwerde gegen gestützt auf Art. 27 VStrR ergangene Beschwerdeentscheide nur wegen Verletzung von Bundesrecht, einschliesslich Überschreitung oder Miss- brauch des Ermessens möglich (Art. 27 Abs. 3 VStrR).</w:t>
      </w:r>
    </w:p>
    <w:p>
      <w:r>
        <w:t>1.2 Die vorliegende Beschwerde richtet sich gegen den Entscheid der Be- schwerdegegnerin vom 23. Juli 2008. Die Beschwerdeführer sind durch den Beschwerdeentscheid berührt und haben ein schutzwürdiges Interesse an dessen Aufhebung; auf deren im Übrigen frist- und formgerecht erhobe- ne Beschwerde ist daher einzutreten.</w:t>
      </w:r>
    </w:p>
    <w:p>
      <w:r>
        <w:t>- 4 -</w:t>
      </w:r>
    </w:p>
    <w:p>
      <w:r>
        <w:t>1.3</w:t>
      </w:r>
    </w:p>
    <w:p>
      <w:r>
        <w:t>1.3.1 Zwischen den Parteien umstritten ist jedoch die Frage, ob auch die Einga- be vom 14. August 2008, mit welcher die Beschwerdeführer ihre Be- schwerde ergänzten, innerhalb der gesetzlichen Beschwerdefrist erfolgte. Die Beschwerdeführer berufen sich diesbezüglich auf die Gerichtsferien nach Art. 31 Abs. 1 VStrR i.V.m. Art. 22a VwVG. Die Beschwerdegegnerin ihrerseits ist der Auffassung, dass der Gesetzgeber bei der Schaffung von Gerichtsferien gemäss Art. 22a VwVG nicht an den Verweis im VStrR ge- dacht habe bzw. dass die Schaffung von Gerichtsferien auch für das Ver- waltungsstrafverfahren einem gesetzgeberischen Versehen gleichkäme. In- folgedessen sei der Nachtrag zur Beschwerde vom 14. August 2008 nicht fristgerecht erfolgt, weshalb diesen ergänzenden Ausführungen im vorlie- genden Verfahren keine Beachtung geschenkt werden dürfe (act. 7, S. 2).</w:t>
      </w:r>
    </w:p>
    <w:p>
      <w:r>
        <w:t>1.3.2 Die Fristbestimmung bezüglich Beschwerden im Bereich des Verwaltungs- strafrechts durch die I. Beschwerdekammer zeigt bisher ein wenig einheitli- ches Bild. Währenddem sie zu Beginn ihrer Rechtsprechung zur Berech- nung der Fristen von der Anwendbarkeit der Bestimmungen des VwVG auszugehen schien (TPF BV.2005.21 vom 18. Juli 2005 E. 1, BK_B 164/04 vom 5. Januar 2005 E. 1.2, BK_B 171/04 vom 3. Dezember 2004 E. 2, BK_B 136/04 vom 9. November 2004 E. 1 und BK_B 118/04 vom 6. Okto- ber 2004 E. 2), stützte sie sich später auf die Bestimmungen des mittlerwei- le aufgehobenen Bundesgesetzes vom 16. Dezember 1943 über die Orga- nisation der Bundesrechtspflege (Bundesrechtspflegegesetz, OG; TPF BV.2006.68 vom 27. Oktober 2006 E. 1.3, BV.2006.45 vom 19. Oktober 2006 E. 1.2, BV.2006.36 vom 4. Oktober 2006 E. 1.2 und BV.2006.54 vom 29. September 2006 E. 1.3), um in ihrem diesbezüglich neusten Entscheid wieder die Bestimmungen des VwVG anzuwenden (TPF BV.2007.15 vom 11. Januar 2008).</w:t>
      </w:r>
    </w:p>
    <w:p>
      <w:r>
        <w:t>Art. 31 Abs. 1 VStrR, welcher sich systematisch innerhalb der allgemeinen Verfahrensbestimmungen des Verwaltungsstrafrechts befindet, erklärt für die Berechnung der Fristen, die Fristverlängerung und die Wiederherstel- lung gegen die Folgen der Fristversäumnis die Art. 20 - 24 VwVG für sinn- gemäss anwendbar. Die Fristen im gerichtlichen Verfahren anderseits soll- ten sich nach dem einschlägigen eidgenössischen oder kantonalen Recht richten (Art. 31 Abs. 2 VStrR). Das Beschwerdeverfahren vor der I. Be- schwerdekammer ist als ein solches gerichtliches Verfahren zu betrachten (vgl. für die analoge Situation der Anklagekammer des Bundesgerichts als früher zuständige Beschwerdeinstanz HAURI, Verwaltungsstrafrecht, Bern 1998, S. 89 mit Hinweis auf BGE 107 IV 72 E. 2 S. 74). Im Gegensatz zur früheren Anklagekammer, die verfahrensrechtlich dem Bundesrechtspfle-</w:t>
      </w:r>
    </w:p>
    <w:p>
      <w:r>
        <w:t>- 5 -</w:t>
      </w:r>
    </w:p>
    <w:p>
      <w:r>
        <w:t>gegesetz (OG) unterstand, kann die I. Beschwerdekammer nicht auf ein ei- genes Organisations- bzw. Verfahrensgesetz zurückgreifen, welches die Frage der Fristberechnung ausdrücklich regelt. Vielmehr verweist Art. 30 lit. a SGG wieder zurück auf das VStrR. Aus diesem Grund ist es ange- zeigt, für die Frage der Fristberechnung in den Beschwerdeverfahren nach Art. 25 ff. VStrR vor der I. Beschwerdekammer grundsätzlich Art. 20 - 24 VwVG anzuwenden.</w:t>
      </w:r>
    </w:p>
    <w:p>
      <w:r>
        <w:t>1.3.3 Damit ist jedoch noch nichts gesagt zur Frage nach der Geltung von Ge- richtsferien gemäss Art. 22a VwVG im Bereich des Verwaltungsstrafrechts. Bei der Schaffung des VStrR waren Gerichtsferien offenbar kein Thema; Art. 22a VwVG wurde auch erst rund 16 Jahre nach Inkrafttreten des VStrR erlassen. Entsprechend sind denn auch der Botschaft vom 21. April 1971 zum Entwurf eines Bundesgesetzes über das Verwaltungsstrafrecht (BBl 1971 I S. 993 ff.) diesbezüglich keine Ausführungen zu entnehmen. Mit der Beschwerdegegnerin ist weiter zumindest darin übereinzustimmen, dass der Gesetzgeber bei der Schaffung von Gerichtsferien nach Art. 22a VwVG nicht an die Beschwerdeverfahren nach Art. 25 ff. VStrR gedacht hat. Dies insbesondere auch, da die zu jenem Zeitpunkt als Beschwerdein- stanz fungierende Anklagekammer des Bundesgerichts diesbezüglich oh- nehin die Bestimmungen des OG zur Anwendung brachte (vgl. oben E. 1.3.2). In Anwendung von Art. 34 Abs. 2 OG, wonach der Stillstand von Fristen in Strafsachen und in Schuldbetreibungs- und Konkurssachen nicht galt, ist daher davon auszugehen, dass im Verfahren vor der Anklagekam- mer des Bundesgerichts als Beschwerdeinstanz im Verwaltungsstrafrecht bis zu deren Ersatz durch die I. Beschwerdekammer per 1. April 2004 keine Gerichtsferien galten.</w:t>
      </w:r>
    </w:p>
    <w:p>
      <w:r>
        <w:t>Der Wortlaut des nunmehr im Verfahren vor der I. Beschwerdekammer an- wendbaren Art. 22a VwVG sieht demgegenüber Gerichtsferien vor. Das Gesetz ist in erster Linie nach seinem Wortlaut auszulegen. Vom klaren Wortlaut darf nur abgewichen werden, wenn triftige Gründe zur Annahme berechtigen, dass die Bestimmung nicht nach ihrem wahren Sinn wieder- gegeben ist, oder wenn das Gesetz in störender Weise dem Gerechtig- keitsgedanken zuwiderläuft (u. a. bei HAUSER/SCHWERI/HARTMANN, Schwei- zerisches Strafprozessrecht, 6. Aufl., Basel 2005, S. 31 N. 2 m.w.H.).</w:t>
      </w:r>
    </w:p>
    <w:p>
      <w:r>
        <w:t>Im Falle des durch den Verweis in Art. 31 VStrR auch auf die Verfahren vor der I. Beschwerdekammer grundsätzlich anwendbaren Art. 22a VwVG be- stehen tatsächlich triftige Gründe zur Annahme, dass die Beachtung von Gerichtsferien nicht der Intention des Gesetzgebers entspricht. Wie bereits erwähnt waren die Gerichtsferien unter der Verfahrensherrschaft der ehe-</w:t>
      </w:r>
    </w:p>
    <w:p>
      <w:r>
        <w:t>- 6 -</w:t>
      </w:r>
    </w:p>
    <w:p>
      <w:r>
        <w:t>maligen Anklagekammer des Bundesgerichts von Gesetzes wegen ausge- schlossen. In Anbetracht des in Strafsachen stets zu beachtenden und auch im Völkerrecht verankerten Beschleunigungsgebots (Art. 6 Ziff. 1 EMRK, Art. 5 Ziff. 3 EMRK für Haftsachen) ist dies auch gerechtfertigt. Der entsprechende Grundsatz beansprucht denn auch im schweizerischen Landesrecht Verfassungsrang (Art. 29 Abs. 1 BV, Art. 31 Abs. 3 BV in Haft- sachen; vgl. zum Ganzen das Urteil des Bundesgerichts 1B_154/2007 vom</w:t>
      </w:r>
    </w:p>
    <w:p>
      <w:r>
        <w:rPr>
          <w:b/>
        </w:rPr>
        <w:t>E. 14</w:t>
      </w:r>
    </w:p>
    <w:p>
      <w:r>
        <w:t>September 2007 E. 1.2). Gemäss dem vom Gesetzgeber verabschie- deten Art. 31 Abs. 2 VStrR in der Fassung vom 5. Oktober 2007 (vgl. Schweizerische Strafprozessordnung [StPO] vom 5. Oktober 2007 An- hang I Ziff. 11) richten sich die Fristen im gerichtlichen Verfahren künftig nach der StPO. Gemäss Art. 89 Abs. 2 StPO gibt es im Strafverfahren kei- ne Gerichtsferien. Zu beachten ist diesbezüglich der viel sagende Hinweis in den dazugehörigen Materialien: „Die vorgeschlagenen Regeln (gemeint sind Art. 87 - 92 des Entwurfs der schweizerischen Strafprozessordnung) entsprechen auch hier im Wesentlichen den geltenden Prozessordnungen und bedürfen deshalb keiner eingehenden Erläuterung.“ (Botschaft zur Vereinheitlichung des Strafprozessrechts vom 21. Dezember 2005, BBl 2006 S. 1158).</w:t>
      </w:r>
    </w:p>
    <w:p>
      <w:r>
        <w:t>Die Beachtung der Gerichtsferien gemäss Art. 22a VwVG in den Be- schwerdeverfahren gemäss Art. 25 ff. VStrR vor der I. Beschwerdekammer zöge daher bis zum Inkrafttreten der schweizerischen Strafprozessordnung vom 5. Oktober 2007 ein letztlich nicht überzeugendes, mit Verfassungs- und Völkerrecht unvereinbares verfahrensrechtliches Interregnum nach sich. Dies kann nicht dem Willen des Gesetzgebers entsprechen.</w:t>
      </w:r>
    </w:p>
    <w:p>
      <w:r>
        <w:t>Mit der Publikation des vorliegenden Entscheides wird diese Rechtspre- chung wie eine Praxisänderung angekündigt und damit in allen künftigen Beschwerdeverfahren nach Art. 25 ff. VStrR vor der I. Beschwerdekammer anwendbar.</w:t>
      </w:r>
    </w:p>
    <w:p>
      <w:r>
        <w:t>Diese neue Praxis weicht – wie gesagt – vom Wortlaut des Gesetzes ab. Die Beschwerdeführer durften sich deshalb nach Treu und Glauben (Art. 5 Abs. 3 und Art. 9 BV) darauf verlassen, dass auch im vorliegenden Be- schwerdeverfahren Gerichtsferien gelten. Die Auslegung der I. Beschwer- dekammer war für sie nicht voraussehbar, weshalb ihnen daraus keine Nachteile erwachsen dürfen. Dies hat zur Folge, dass die I. Beschwerde- kammer die unter Beachtung des Fristenstillstands fristgerecht eingereichte Ergänzung der Beschwerde vom 14. August 2008 – ausnahmsweise – als rechtzeitig akzeptiert.</w:t>
      </w:r>
    </w:p>
    <w:p>
      <w:r>
        <w:t>- 7 -</w:t>
      </w:r>
    </w:p>
    <w:p>
      <w:r>
        <w:t>2.</w:t>
      </w:r>
    </w:p>
    <w:p>
      <w:r>
        <w:t>2.1 Die Beschwerdegegnerin verweigerte den Beschwerdeführern gestützt auf Art. 114 DBG die nachgesuchte Einsicht in die vollständigen Einvernahme- protokolle von D. vom 26. Oktober 2005 bzw. vom 12. Dezember 2006 mit der Begründung, dass sich die Ausführungen im Schlussbericht nur auf die den Beschwerdeführern offen gelegten Beweise stützten. Einer weiter ge- henden Akteneinsicht stehe das Steuergeheimnis entgegen.</w:t>
      </w:r>
    </w:p>
    <w:p>
      <w:r>
        <w:t>2.2 Das Recht auf Akteneinsicht ist Ausfluss des in Art. 29 Abs. 2 BV bzw. Art. 6 Ziff. 3 EMRK festgehaltenen verfassungsrechtlichen Anspruchs auf rechtliches Gehör. Daraus ergibt sich, dass die Produktion von Beweismit- teln für den Angeklagten, wie auch für das Gericht nachvollziehbar sein muss. Der Angeklagte hat grundsätzlich das uneingeschränkte Recht, in al- le für das Verfahren wesentlichen Akten Einsicht zu nehmen. Das Akten- einsichtsrecht soll sicherstellen, dass der Angeklagte als Verfahrenspartei von den Entscheidgrundlagen Kenntnis nehmen und sich wirksam und sachbezogen verteidigen kann (BGE 129 I 85 E. 4.1. S. 88 f. m.w.H.). Art. 193 Abs. 3 DBG bestimmt in Zusammenhang mit besonderen Untersu- chungsmassnahmen der eidgenössischen Steuerverwaltung, dass sich das Recht auf Akteneinsicht nach Abschluss der Untersuchung nach Art. 114 DBG richtet. Die übrigen Akten stehen dem Steuerpflichtigen zur Einsicht offen, sofern die Ermittlung des Sachverhalts abgeschlossen ist und soweit nicht öffentliche oder private Interessen entgegenstehen (Art. 114 Abs. 2 DBG). Zu den übrigen Akten zählen Akten, welche nicht vom Steuerpflich- tigen eingereicht oder unterzeichnet wurden (Art. 114 Abs. 1 DBG e contra- rio) und die gemäss bundesgerichtlicher Rechtsprechung für die Verfügung oder den Entscheid wesentlich sind, mithin solche, welche Grundlage des Entscheides bilden, das heisst auf welche in der Verfügung oder im Ent- scheid abgestellt wurde (ZWEIFEL, in Zweifel/Athanas, Kommentar zum Schweizerischen Steuerrecht, I/2b Bundesgesetz über die direkte Bundes- steuer [DBG Art. 83 – 222], Basel 2000, Art. 114 N. 20 m.w.H.; BRUNNER, in Auer/Müller/Schindler, Kommentar zum Bundesgesetz über das Verwal- tungsverfahren (VwVG), Zürich/St. Gallen 2008, Art. 26 N. 33). Schutzwür- dige private Interessen, welche dem Akteneinsichtsrecht entgegenstehen können, betreffen regelmässig am Verfahren nicht beteiligte Drittpersonen. Wird dem Beschuldigten das Recht auf Akteneinsicht verweigert, gilt der Massstab der Verhältnismässigkeit, da mit der Verweigerung in ein Grund- recht des Betroffenen eingegriffen wird. Die Verweigerung der Aktenein- sicht muss folglich geeignet sein, den angestrebten Schutz von Drittinte- ressen zu gewährleisten, und darf in personeller, sachlicher und zeitlicher Hinsicht nicht über das dazu Notwendige hinausgehen. Verlangt wird der mildeste Eingriff, welcher zur Erreichung des angestrebten Schutzzwecks</w:t>
      </w:r>
    </w:p>
    <w:p>
      <w:r>
        <w:t>- 8 -</w:t>
      </w:r>
    </w:p>
    <w:p>
      <w:r>
        <w:t>notwendig ist. Erforderlich ist somit eine einzelfallbezogene Interessenab- wägung zwischen dem Interesse der Drittperson an Geheimhaltung und dem Interesse des Steuerpflichtigen an umfassendem Einblick in die ver- fahrensrelevanten Akten. Das Interesse der Partei an Akteneinsicht ist um- so höher zu gewichten, je direkter sie im Verfahren in ihren persönlichen Verhältnissen betroffen ist, je stärker das Verfahrensergebnis von ihrer Stellungnahme abhängt und je stärker auf ein Dokument zu ihrem Nachteil abgestellt wird (ZWEIFEL, a.a.O., Art. 114 N. 26 und 28; BRUNNER, a.a.O., Art. 27 N. 5 ff.).</w:t>
      </w:r>
    </w:p>
    <w:p>
      <w:r>
        <w:t>2.3 Unbestritten ist, dass beide Einvernahmeprotokolle von D. zu den Akten des Verfahrens gehören, welches gegen die Beschwerdeführer geführt wird. Ebenfalls unbestritten ist, dass die Untersuchung durch die ASU ge- gen die Beschwerdeführer abgeschlossen und der Untersuchungsbericht gemäss Art. 193 Abs. 1 DBG den Beschwerdeführern zugestellt wurde. Das Recht auf Akteneinsicht richtet sich demzufolge nach Art. 193 Abs. 3 i.V.m. Art. 114 DBG. Dieses Vorgehen verschlechtert die verfahrensrechtli- che Position der Beschwerdeführer bezüglich des Rechts auf Akteneinsicht nicht. Gemäss bundesgerichtlicher Rechtsprechung gewährt Art. 29 BV dem Bürger in allen Streitsachen ein bestimmtes Mindestmass an Verteidi- gungsrechten, wobei es bezüglich dieser Minimalanforderungen keine Rol- le spielt, ob es sich um ein Zivil-, Straf-, oder Verwaltungsverfahren handelt (BGE 119 Ib 12 E. 3b; vgl. auch Art. 191 Abs. 1 DBG i.V.m. Art. 36 VStrR und Art. 26 ff. VwVG bzgl. Akteneinsicht während der Untersuchung). Wei- ter zählen die Protokolle der Einvernahmen von D. vom 26. Oktober 2005 und 12. Dezember 2006 zu den so genannten übrigen Akten.</w:t>
      </w:r>
    </w:p>
    <w:p>
      <w:r>
        <w:t>2.4 Zu prüfen ist daher vorab, ob der nachgesuchten Akteneinsicht überwie- gende öffentliche oder private Interessen entgegenstehen. Sofern die Be- schwerdegegnerin in ihrem angefochtenen Entscheid diesbezüglich zuerst die Prüfung vornimmt, ob sich die Ausführungen in ihrem Schlussbericht nur auf solche Beweise stützen, die auch den Beschwerdeführern offen ge- legt wurden (act. 1.1, S. 3 Ziff. 3), übersieht sie, dass dieses Kriterium ge- mäss Art. 114 Abs. 3 DBG lediglich die Konsequenz einer auf Grund ent- gegen gesetzter Interessen verweigerten Akteneinsicht darstellt, nicht je- doch die Voraussetzung einer solchen.</w:t>
      </w:r>
    </w:p>
    <w:p>
      <w:r>
        <w:t>Als überwiegendes privates Interesse, welches dem umfassenden Recht auf Akteneinsicht der Beschwerdeführer entgegenstehen soll, macht die Beschwerdegegnerin das Steuergeheimnis von D. geltend. Es ist deshalb zu prüfen, ob ein Interesse von D. an Geheimhaltung ihrer Aussagen vor den Beschwerdeführern besteht. Zunächst ist zu bemerken, dass die Be-</w:t>
      </w:r>
    </w:p>
    <w:p>
      <w:r>
        <w:t>- 9 -</w:t>
      </w:r>
    </w:p>
    <w:p>
      <w:r>
        <w:t>schwerdegegnerin im vorliegenden Fall nicht genügend klar darlegt, welche Daten in welcher Form unter das Steuergeheimnis von D. fallen. Ange- sichts der Tatsache, dass D. und die Beschwerdeführer offensichtlich in sehr engem geschäftlichem Kontakt standen - so kaufte beispielsweise ei- ner der Beschwerdeführer zusammen mit D. im August 1994 die C. SA (act. 7.1, Frage 14) - ist klar, dass gewisse Informationen den Beschwerde- führern bereits aus vergangener geschäftlicher Beziehung bekannt sind und im heutigen Zeitpunkt nicht mehr schützenswert sind. Die Beschwer- degegnerin verweigerte den Beschwerdeführern lediglich mit einem pau- schalen und in nicht genügender Weise substantiierten Verweis auf das Steuergeheimnis von D. das für ihre Verteidigung essentielle Recht auf Ak- teneinsicht. Des Weiteren führte die Beschwerdegegnerin ihre ersten Er- mittlungen im Februar 2005 gemeinsam gegen D. und die Beschwerde- gegner durch. Erst im Nachhinein trennte sie die Untersuchung in zwei se- parate Verfahren. Dies lässt drauf schliessen, dass die Beschwerdegegne- rin selber davon ausging, dass es sich beim Gegenstand der Untersuchung wegen des Verdachts schwerer Steuerwiderhandlungen um einen einheitli- chen Lebenssachverhalt handelte, bei welchem die Beteiligten offenbar zu- sammen wirkten. Die Beschwerdeführer und D. waren offensichtlich Ge- schäftspartner, so dass mit an Sicherheit grenzender Wahrscheinlichkeit davon ausgegangen werden kann, dass beide Seiten über ihre gegenseiti- gen Kontakte sowie über die jeweilige geschäftliche Einkommens- und Vermögenssituation der anderen informiert waren. Aus diesem Grund be- steht nur ein sehr geringes Interesse an der Geheimhaltung der Steuerda- ten. Dass das Steuergeheimnis von D. bereits in der Vergangenheit keine grosse Rolle spielte, zeigt auch das Beispiel der gemeinsamen Einvernah- me von D. und den Beschwerdeführern im November 2007, an der, wie die Beschwerdegegnerin selbst bemerkte (act. 7, S. 3), von keiner der beteilig- ten Parteien ein Interesse an Geheimhaltung geltend gemacht wurde. Dar- aus folgt, dass in Abwägung der auf dem Spiel stehenden Interessen das Interesse der Beschwerdeführer an umfassendem Einblick in die verfah- rensrelevanten Aussagen den Vorzug gegenüber dem Schutz des Steuer- geheimnisses von D. verdient. Die Beschwerdeführer sind in vorliegendem Verfahren relativ stark in ihren persönlichen Verhältnissen betroffen. Sie werden verdächtigt, schwere Steuerwiderhandlungen im Sinne von Art. 190 Abs. 1 DBG begangen zu haben und müssen mit einem Verwaltungsstraf- verfahren vor den kantonalen Behörden rechnen. Des Weiteren machen die Beschwerdeführer in glaubhafter Weise geltend, dass das Verfahrens- ergebnis von ihrer Stellungnahme zu noch nicht eingesehenen Aussagen von D. abhängt. Auch wenn die Beschwerdegegnerin sich in ihrem Unter- suchungsbericht nur auf die zur Einsicht freigegebenen Akten stützt, ist es nicht zulässig, den Beschwerdeführern Aussagen, welche sie direkt oder</w:t>
      </w:r>
    </w:p>
    <w:p>
      <w:r>
        <w:t>- 10 -</w:t>
      </w:r>
    </w:p>
    <w:p>
      <w:r>
        <w:t>indirekt betreffen und für ein allfälliges Urteil gegen sie von Relevanz sein könnten, vorzuenthalten. Im Hinblick auf eine wirksame und sachbezogene Verteidigung muss es ihnen möglich sein, auch in solche Akten Einsicht zu nehmen. Das Interesse der Beschwerdeführer an ihrer effizienten Verteidi- gung ist infolgedessen höher zu gewichten als das Geheimhaltungsinteres- se von D.</w:t>
      </w:r>
    </w:p>
    <w:p>
      <w:r>
        <w:t>2.5 Nach dem Gesagten ist die Beschwerde gutzuheissen, der angefochtene Entscheid aufzuheben und es ist den Beschwerdeführern die vollständige Einsicht in die Einvernahmeprotokolle von D. vom 26. Oktober 2005 und 12. Dezember 2006 zu gewähren (inklusive allfälligen Vorhalten und/oder Beilagen).</w:t>
      </w:r>
    </w:p>
    <w:p>
      <w:r>
        <w:t>3.</w:t>
      </w:r>
    </w:p>
    <w:p>
      <w:r>
        <w:t>3.1 Bei diesem Ausgang des Verfahrens werden keine Gerichtskosten erhoben (Art. 25 Abs. 4 VStrR i.V.m. Art. 66 Abs. 4 BGG). Die Bundesstrafgerichts- kasse hat den Beschwerdeführern den geleisteten Kostenvorschuss in der Höhe von Fr. 3'000.-- zurückzuerstatten.</w:t>
      </w:r>
    </w:p>
    <w:p>
      <w:r>
        <w:t>3.2 Die Beschwerdegegnerin hat den Beschwerdeführern eine Parteientschä- digung in der Höhe von Fr. 1’500.-- (inkl. Auslagen und MwSt.) zu leisten (Art. 25 Abs. 4 VStrR i.V.m. 68 Abs. 1 BGG und Art. 3 des Reglements vom 26. September 2006 über die Entschädigung in Verfahren vor dem Bun- desstrafgericht; SR 173.711.31).</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