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BV.2006.38 vom 13. September 2006</w:t>
      </w:r>
    </w:p>
    <w:p>
      <w:r>
        <w:t>Bundesstrafgericht, 2006-09-13, IT</w:t>
      </w:r>
    </w:p>
    <w:p>
      <w:r>
        <w:rPr>
          <w:b/>
        </w:rPr>
        <w:t xml:space="preserve">Quelle: </w:t>
      </w:r>
      <w:r>
        <w:t>https://mcp.opencaselaw.ch/entscheid/bstger_BV.2006.38</w:t>
      </w:r>
    </w:p>
    <w:p>
      <w:r>
        <w:t>FR: TPF BV.2006.38 du 13 septembre 2006</w:t>
      </w:r>
    </w:p>
    <w:p>
      <w:r>
        <w:t>IT: TPF BV.2006.38 del 13 settembre 2006</w:t>
      </w:r>
    </w:p>
    <w:p>
      <w:pPr>
        <w:pStyle w:val="Heading2"/>
      </w:pPr>
      <w:r>
        <w:t>Regeste</w:t>
      </w:r>
    </w:p>
    <w:p>
      <w:r>
        <w:t>Reclamo contro un sequestro ed una richiesta d'informazioni (art. 46 e 40 DPA)</w:t>
      </w:r>
    </w:p>
    <w:p>
      <w:pPr>
        <w:pStyle w:val="Heading2"/>
      </w:pPr>
      <w:r>
        <w:t>Erwägungen</w:t>
      </w:r>
    </w:p>
    <w:p>
      <w:r>
        <w:rPr>
          <w:b/>
        </w:rPr>
        <w:t>E. 1.1</w:t>
      </w:r>
    </w:p>
    <w:p>
      <w:r>
        <w:t>Giusta l’art. 26 cpv. 1 DPA, contro i provvedimenti coattivi degli art. 45 e segg. DPA (tra i quali il sequestro – art. 46 e 47 DPA) e le operazioni e o- missioni connesse, può essere proposto reclamo alla Corte dei reclami pe- nali del Tribunale penale federale. Il reclamo contro un’operazione o contro una decisione su reclamo deve essere presentato per scritto all’autorità competente, con le conclusioni e una breve motivazione, entro tre giorni a contare da quello in cui il reclamante ha avuto conoscenza dell’operazione o ha ricevuto notifica della decisione (art. 28 cpv. 3 DPA). In concreto, la decisione di sequestro impugnata, datata 18 maggio 2006, è stata notifica- ta al reclamante il 2 giugno scorso (v. act. 1.3); il reclamo è dunque tempe- stivo (DTF 130 IV 43 consid. 1.3).</w:t>
      </w:r>
    </w:p>
    <w:p>
      <w:r>
        <w:t>Secondo l’art. 28 cpv. 1 DPA, il diritto di reclamo spetta a chiunque è tocca- to dall’operazione impugnata, dall’omissione censurata o dalla decisione su reclamo (art. 27 cpv. 2 DPA) e ha un interesse degno di protezione all’annullamento o alla modificazione (v. TPF BK_B 164/04 del 5 gennaio 2005 consid. 1.3). La legittimazione attiva del reclamante, titolare dei conti bancari oggetto dell’ordine impugnato, è in questo caso pacifica.</w:t>
      </w:r>
    </w:p>
    <w:p>
      <w:r>
        <w:rPr>
          <w:b/>
        </w:rPr>
        <w:t>E. 1.2</w:t>
      </w:r>
    </w:p>
    <w:p>
      <w:r>
        <w:t>L’art. 40 DPA, come l’art. 101bis PP, autorizza la persona incaricata di un perseguimento penale a richiedere a terzi informazioni orali o scritte. In ba- se a ciò, il funzionario inquirente ha il diritto di invitare una banca a fornirgli delle informazioni e la banca non può limitarsi ad invocare il segreto banca- rio per rifiutarsi di rispondere. Una tale richiesta non costituisce una misura coercitiva (DTF 120 IV 260 consid. 3; 119 IV 175 consid. 3; TPF BE.2005.10 del 14 settembre 2005 consid. 2.1).</w:t>
      </w:r>
    </w:p>
    <w:p>
      <w:r>
        <w:t>Per quanto attiene alla richiesta d’informazioni del 18 maggio 2006, tenden- te ad ottenere i saldi dei valori patrimoniali bloccati di pertinenza del recla- mante, essa è da considerarsi come un’operazione connessa alla decisio- ne di sequestro impugnata ai sensi dall’art. 26 DPA (v. DTF 120 IV 260 consid 3d-3e; TPF BK_B 179/04 dell’8 febbraio 2005 consid. 1.3). La legit- timazione attiva del reclamante fa tuttavia difetto. Codesta Corte ha già a- vuto modo di riconoscere la legittimazione di una banca a contestare una richiesta di informazioni ai sensi dell’art. 40 DPA, poiché destinataria della misura e direttamente toccata dal provvedimento (TPF BV.2006.11 del 16 febbraio 2006 consid. 1.3). Il titolare del conto, per contro, non essendo de- stinatario della richiesta, è solo indirettamente toccato dalla medesima, per</w:t>
      </w:r>
    </w:p>
    <w:p>
      <w:r>
        <w:t>- 4 -</w:t>
      </w:r>
    </w:p>
    <w:p>
      <w:r>
        <w:t>cui la legittimazione attiva non può essergli riconosciuta. Il reclamo è dun- que irricevibile su questo punto.</w:t>
      </w:r>
    </w:p>
    <w:p>
      <w:r>
        <w:rPr>
          <w:b/>
        </w:rPr>
        <w:t>E. 2</w:t>
      </w:r>
    </w:p>
    <w:p>
      <w:r>
        <w:t>L’art. 5 cpv. 4 Cost. prevede che la Confederazione e i Cantoni rispettano il diritto internazionale. Il rispetto del principio della territorialità in ambito pe- nale nonché della sovranità di ogni Stato, suo fondamento, costituiscono la base di ogni ordinamento giuridico nazionale ed internazionale. L’adagio locus regit actum esprime in maniera chiara il carattere strettamente territo- riale delle leggi di procedura. Ciò implica che, di principio, le autorità di uno Stato preposte al perseguimento penale non possono agire sul territorio di un altro Stato senza il consenso di quest’ultimo; inoltre, gli atti di procedura devono essere compiuti conformemente al diritto in vigore nel luogo nel quale sono effettuati (PIQUEREZ, Procédure pénale suisse, Zurigo 2000, nos 65 e 1599; per quanto concerne le succursali estere di società svizzere v. l’art. 3 cpv. 3 dell’Ordinanza della Commissione federale delle banche re- lativa alla lotta contro il riciclaggio di denaro [ORD-CFB]; RS 955.022; cfr. anche N. JEANDIN/C. LOMBARDINI, Le séquestre en Suisse d’avoir bancaires à l’étranger: fiction ou réalité?, in AJP/PJA 8/2006 pag. 977). Le norme che regolamentano la ricerca, il perseguimento, l’istruzione ed il giudizio di in- frazioni esplicano i loro effetti unicamente all’interno delle frontiere naziona- li. Per compiere atti di procedura al di fuori delle frontiere nazionali è d’uopo ricorrere all’aiuto dell’autorità estera attraverso domande di assistenza giu- diziaria internazionale (PIQUEREZ, op. cit., n° 1600; HAU- SER/SCHIERI/HARTMANN, Schweizerisches Strafprozessrecht, 6a ediz., Basi- lea 2005, pag. 347 n° 30).</w:t>
      </w:r>
    </w:p>
    <w:p>
      <w:r>
        <w:rPr>
          <w:b/>
        </w:rPr>
        <w:t>E. 2.1</w:t>
      </w:r>
    </w:p>
    <w:p>
      <w:r>
        <w:t>In merito alle sentenze citate dall’AFC nei suoi allegati (v. BK act. 2, pag. 4 e act. 8, pag. 2), vi è da rilevare che esse concernono esclusivamente casi di sequestri adottati in applicazione della legge federale sulla esecuzione e sul fallimento, ossia misure attuate in vista dell’esecuzione di pretese pe- cuniarie o di prestazioni di garanzie derivanti dal diritto privato o pubblico (v. art. 38 LEF). Come rettamente accennato dal ricorrente, data la natura e lo scopo fondamentalmente diversi della procedura esecutiva e penale, i principi derivanti dalla giurisprudenza in questione non possono essere ap- plicati al sequestro penale. Il Tribunale federale non li ha d’altronde mai applicati, nemmeno per analogia, ad una procedura penale.</w:t>
      </w:r>
    </w:p>
    <w:p>
      <w:r>
        <w:rPr>
          <w:b/>
        </w:rPr>
        <w:t>E. 2.2</w:t>
      </w:r>
    </w:p>
    <w:p>
      <w:r>
        <w:t>In dottrina, SCHMID (in SCHMID [ed.], Kommentar Einziehung, organisiertes Verbrechen und Geldwäscherei, Vol. I, Zurigo 1998, n° 22 ad art. 59 CP) considera che qualora un conto sia interamente ed effettivamente gestito in Svizzera ma sia stato aperto in un istituto finanziario all’estero (che sia o no</w:t>
      </w:r>
    </w:p>
    <w:p>
      <w:r>
        <w:t>- 5 -</w:t>
      </w:r>
    </w:p>
    <w:p>
      <w:r>
        <w:t>una filiale di una banca elvetica) a scopo puramente fittizio, i beni depositati possono essere sequestrati direttamente in Svizzera. Sempre a detta del medesimo autore (SCHMID, Das neue Einziehungsrecht nach StGB art. 58 ff., in RPS, Vol. 113/1995, pag. 321 e segg., in particolare p. 332) il criterio decisivo è di natura economica: i valori depositati su un conto possono es- sere sequestrati (e successivamente confiscati) in Svizzera se il conto è fattualmente gestito e amministrato dalla Svizzera cosicché il domicilio e- stero della relazione risulta puramente fittizio.</w:t>
      </w:r>
    </w:p>
    <w:p>
      <w:r>
        <w:t>In concreto si pone quindi la questione a sapere se la domiciliazione dei conti in questione presso C. di Singapore sia di natura fittizia o no. Dagli atti dell’incarto non è del tutto chiaro il funzionamento reale delle relazioni ban- carie oggetto dell’ordine impugnato; il fatto che ci siano dei versamenti e dei prelevamenti in Svizzera non è, di per sé, indice dell’esistenza fittizia di un conto all’estero. Per contro, le argomentazioni invocate dal reclamante nella sua replica (v. act. 6, pag. 6 e 7) sono convincenti e testimoniano di un’operatività autonoma del conto aperto nella filiale estera rispetto alla ca- sa-madre svizzera della banca; non c’è quindi verosimiglianza nel sospetta- re che i conti aperti all’estero sono puramente fittizi.</w:t>
      </w:r>
    </w:p>
    <w:p>
      <w:r>
        <w:rPr>
          <w:b/>
        </w:rPr>
        <w:t>E. 2.3</w:t>
      </w:r>
    </w:p>
    <w:p>
      <w:r>
        <w:t>Alla luce di quanto esposto, l’ordine di sequestro impugnato – nella misura in cui concerne beni patrimoniali situati all’estero – è contrario al diritto in- ternazionale e all’art. 5 cpv. 4 Cost., concretizzato dall’art. 3 cpv. 3 della sopra citata ordinanza (RS 955.022). Esso deve quindi essere parzialmen- te annullato.</w:t>
      </w:r>
    </w:p>
    <w:p>
      <w:r>
        <w:rPr>
          <w:b/>
        </w:rPr>
        <w:t>E. 3</w:t>
      </w:r>
    </w:p>
    <w:p>
      <w:r>
        <w:t>Discende da quanto precede che, nella misura in cui è ricevibile, il gravame deve essere parzialmente accolto. Conformemente all’art. 156 cpv. 1 OG, applicabile in virtù degli espliciti rinvii degli art. 25 cpv. 4 DPA e 245 PP, le spese processuali sono poste a carico della parte soccombente. Nel caso concreto, considerato il limitato grado di soccombenza del reclamante, vie- ne posta a suo carico una tassa di giustizia ridotta di fr. 300.-- (art. 156 cpv. 1 e 3 OG), calcolata giusta l'art. 3 del Regolamento dell’11 febbraio 2004 sulle tasse di giustizia del Tribunale penale federale (RS 173.711.32); l’AFC è invece dispensata dal pagamento delle spese processuali in virtù dell’art. 156 cpv. 2 OG. Secondo l’art. 159 OG, statuendo sulla contesta- zione, il tribunale decide se e in quale misura le spese della parte vincente devono essere sostenute da quella soccombente. Tenuto conto del presu- mibile e necessario dispendio causato dalla presente causa e del grado di soccombenza, in concreto viene assegnata al reclamante un’indennità for- fetaria (IVA inclusa) di fr. 750.- a titolo di ripetibili, da porre a carico</w:t>
      </w:r>
    </w:p>
    <w:p>
      <w:r>
        <w:t>- 6 -</w:t>
      </w:r>
    </w:p>
    <w:p>
      <w:r>
        <w:t>dell’AFC (v. art. 3 del Regolamento sulle spese ripetibili nei procedimenti davanti al Tribunale penale federale; RS 173.711.31).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