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BV.2006.12 vom 15. Februar 2006</w:t>
      </w:r>
    </w:p>
    <w:p>
      <w:r>
        <w:t>Bundesstrafgericht, 2006-02-15, DE</w:t>
      </w:r>
    </w:p>
    <w:p>
      <w:r>
        <w:rPr>
          <w:b/>
        </w:rPr>
        <w:t xml:space="preserve">Quelle: </w:t>
      </w:r>
      <w:r>
        <w:t>https://mcp.opencaselaw.ch/entscheid/bstger_BV.2006.12</w:t>
      </w:r>
    </w:p>
    <w:p>
      <w:r>
        <w:t>FR: TPF BV.2006.12 du 15 février 2006</w:t>
      </w:r>
    </w:p>
    <w:p>
      <w:r>
        <w:t>IT: TPF BV.2006.12 del 15 febbraio 2006</w:t>
      </w:r>
    </w:p>
    <w:p>
      <w:pPr>
        <w:pStyle w:val="Heading2"/>
      </w:pPr>
      <w:r>
        <w:t>Regeste</w:t>
      </w:r>
    </w:p>
    <w:p>
      <w:r>
        <w:t>Beweissicherung (Art. 37 Abs. 1 VStrR)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Februar 2006 an die Eidgenössische Oberzolldirektion gelangt und ver- langt, die beschlagnahmten und versiegelten Geschäftsdokumente seien ihr sofort zurückzugeben (act. 1);</w:t>
      </w:r>
    </w:p>
    <w:p>
      <w:r>
        <w:t>- der Oberzolldirektor die Beschwerde am 7. Februar 2006 zuständigkeitshal- ber an die Beschwerdekammer des Bundesstrafgerichts überwies, wobei er die kostenpflichtige Abweisung der Beschwerde beantragt (act. 2);</w:t>
      </w:r>
    </w:p>
    <w:p>
      <w:r>
        <w:t>- er überdies mit derselben Eingabe verlangt, die EZV sei zur Entsiegelung der am 1. Februar 2006 beschlagnahmten Unterlagen und zu deren Auswertung im Rahmen der vorliegenden Untersuchung zu ermächtigen (act. 2);</w:t>
      </w:r>
    </w:p>
    <w:p>
      <w:r>
        <w:t>- die Eingabe des Oberzolldirektors vom 7. Februar 2006 der A. AG am 8. Feb- ruar 2006 zur Kenntnisnahme zugestellt wurde (act. 3);</w:t>
      </w:r>
    </w:p>
    <w:p>
      <w:r>
        <w:t>- die A. AG mit Eingabe vom 10. Februar 2006 eine weitere Stellungnahme einreichte (act. 4);</w:t>
      </w:r>
    </w:p>
    <w:p>
      <w:r>
        <w:t>- 3 -</w:t>
      </w:r>
    </w:p>
    <w:p>
      <w:r>
        <w:t>- letzteres Begehren des Oberzolldirektors als Gesuch um Entsiegelung sei- tens der EZV entgegen genommen und zusammen mit der Eingabe der A. AG vom 10. Februar 2006 unter der Verfahrensnummer BE.2006.1 be- handelt wird;</w:t>
      </w:r>
    </w:p>
    <w:p>
      <w:r>
        <w:t>- mit Blick auf das Ergebnis des vorliegenden Entscheids auf die Einholung von weiteren Stellungnahmen verzichtet wurde (Art. 82 VStrR i.V.m. Art. 219 Abs. 1 BStP);</w:t>
      </w:r>
    </w:p>
    <w:p>
      <w:r>
        <w:t>- dem Papierinhaber das Recht zukommt, gegen die Durchsuchung derselben Einsprache zu erheben (Art. 50 Abs. 3 VStrR), was zwar den physischen Übergang der Unterlagen an die Untersuchungsbehörde nicht hindert, aber zur Versiegelung und Verwahrung der behändigten Papiere führt (vgl. Ent- scheid des Bundesstrafgerichts BB.2006.1 vom 13. Januar 2006; BGE 109 IV 153, 154 f. E. 1);</w:t>
      </w:r>
    </w:p>
    <w:p>
      <w:r>
        <w:t>- in einem solchen Fall keine anfechtbare Zwangsmassnahme vorliegt, son- dern statt dessen durch den Rechtsbehelf der einfachen Einsprache bewirkt wird, dass es nunmehr an der interessierten Verwaltung liegt, bei der Be- schwerdekammer des Bundesstrafgerichts die Ermächtigung zur Entsiege- lung und Durchsuchung der Papiere zu verlangen (Art. 50 Abs. 3 VStrR; BGE 109 IV 153, 154 f. E. 1);</w:t>
      </w:r>
    </w:p>
    <w:p>
      <w:r>
        <w:t>- solange die Akten versiegelt bleiben, der Inhaber in seinen Interessen hinrei- chend geschützt und deshalb nicht zur Beschwerdeführung befugt ist (BGE 119 IV 326, 327 E. 7b; 109 IV 153, 154 f. E. 1);</w:t>
      </w:r>
    </w:p>
    <w:p>
      <w:r>
        <w:t>- sich vorliegend die Beschwerde somit infolge Versiegelung der streitigen Ak- ten sofort als unzulässig erweist (Art. 82 VStrR i.V.m. Art. 219 Abs. 3 BStP) und auf sie nicht einzutreten ist;</w:t>
      </w:r>
    </w:p>
    <w:p>
      <w:r>
        <w:t>- im Übrigen erst nach Durchführung des Entsiegelungsverfahrens und Kennt- nisnahme der in den Papieren enthaltenen Information entschieden werden kann, ob und gegebenenfalls welche Unterlagen beschlagnahmt werden (vgl. BGE 120 IV 260, 264 E. 3e; in diesem Sinne Entscheid des Bundes- strafgerichts BB.2006.1 vom 13. Januar 2006);</w:t>
      </w:r>
    </w:p>
    <w:p>
      <w:r>
        <w:t>- es sich somit bei der von der EZV als Beschlagnahmeverfügung bezeichne- ten Urkunde vom 31. Januar 2006 (recte: 1. Februar 2006) nicht um eine Be- schlagnahme im oben erwähnten Sinne, sondern lediglich um eine Protokol- lierung der Behändigung und Versiegelung der Unterlagen handelt;</w:t>
      </w:r>
    </w:p>
    <w:p>
      <w:r>
        <w:t>- 4 -</w:t>
      </w:r>
    </w:p>
    <w:p>
      <w:r>
        <w:t>- die A. AG nach allfälliger Entsiegelung und Beschlagnahme Gelegenheit er- hält, Beschwerde zu erheben;</w:t>
      </w:r>
    </w:p>
    <w:p>
      <w:r>
        <w:t>- sich die A. AG als vorerst nicht anwaltlich vertretene Partei aufgrund der un- zutreffenden Rechtsmittelbelehrung in guten Treuen zur Beschwerdeführung veranlasst sehen durfte, weshalb ihr ausnahmsweise keine Kosten auferlegt werden (Art. 25 Abs. 4 VStrR i.V.m. Art. 245 BStP und Art. 156 Abs. 3 OG).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