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BV.2005.34 vom 26. Januar 2006</w:t>
      </w:r>
    </w:p>
    <w:p>
      <w:r>
        <w:t>Bundesstrafgericht, 2006-01-26, DE</w:t>
      </w:r>
    </w:p>
    <w:p>
      <w:r>
        <w:rPr>
          <w:b/>
        </w:rPr>
        <w:t xml:space="preserve">Quelle: </w:t>
      </w:r>
      <w:r>
        <w:t>https://mcp.opencaselaw.ch/entscheid/bstger_BV.2005.34</w:t>
      </w:r>
    </w:p>
    <w:p>
      <w:r>
        <w:t>FR: TPF BV.2005.34 du 26 janvier 2006</w:t>
      </w:r>
    </w:p>
    <w:p>
      <w:r>
        <w:t>IT: TPF BV.2005.34 del 26 gennaio 2006</w:t>
      </w:r>
    </w:p>
    <w:p>
      <w:pPr>
        <w:pStyle w:val="Heading2"/>
      </w:pPr>
      <w:r>
        <w:t>Regeste</w:t>
      </w:r>
    </w:p>
    <w:p>
      <w:r>
        <w:t>Herausgabe freiwillig überlassener Gegenstände (Art. 26 und Art. 27 VStrR)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November 2005 sei nicht einzutreten, eventualiter sei die Beschwerde abzuweisen (act. 2);</w:t>
      </w:r>
    </w:p>
    <w:p>
      <w:r>
        <w:t>- A. mit Replik vom 9. Januar 2006 an seinen Anträgen festhält (act. 7);</w:t>
      </w:r>
    </w:p>
    <w:p>
      <w:r>
        <w:t>- auch die Swissmedic mit Duplik vom 17. Januar 2006 ihre Begehren aufrecht erhält (act. 9), wobei A. diese Eingabe am 18. Januar 2006 zur Kenntnis ge- bracht wurde (act. 10);</w:t>
      </w:r>
    </w:p>
    <w:p>
      <w:r>
        <w:t>- A. mit seiner Beschwerde sinngemäss die Herausgabe der nach Massgabe der Aktenlage im dannzumaligen Zeitpunkt freiwillig überlassenen Gegens- tände verlangt, ohne dass die Swissmedic hierüber vorab formell befunden hätte;</w:t>
      </w:r>
    </w:p>
    <w:p>
      <w:r>
        <w:t>- 3 -</w:t>
      </w:r>
    </w:p>
    <w:p>
      <w:r>
        <w:t>- folglich mangels anfechtbaren Beschwerdeobjekts auf die Beschwerde nicht eingetreten wird;</w:t>
      </w:r>
    </w:p>
    <w:p>
      <w:r>
        <w:t>- die Beschwerde indessen an die Swissmedic als zuständige Behörde zu überweisen ist (Art. 28 Abs. 4 VStrR), welche dieselbe als Gesuch um Her- ausgabe der freiwillig überlassenen Gegenstände entgegenzunehmen und zu behandeln hat;</w:t>
      </w:r>
    </w:p>
    <w:p>
      <w:r>
        <w:t>- bei freiwilliger Überlassung von Gegenständen an die Strafverfolgungsbehör- de solche entweder dem vormaligen Inhaber auf dessen Verlangen ohne Weiteres herauszugeben sind oder aber – sofern die Voraussetzungen dafür gegeben sind – die Gegenstände mittels Beschlagnahmeverfügung unter de- taillierter Auflistung derselben formell und unter Angabe des Rechtsmittels zu beschlagnahmen sind;</w:t>
      </w:r>
    </w:p>
    <w:p>
      <w:r>
        <w:t>- mit diesem Ausgang des Verfahrens offen bleiben kann, ob die Verweigerung der Herausgabe freiwillig überlassener Gegenstände eine Zwangsmassnah- me oder damit zusammenhängende Amtshandlung im Sinne von Art. 26 Abs. 1 VStrR oder aber eine andere Amtshandlung im Sinne von Art. 27 Abs. 1 VStrR darstellt;</w:t>
      </w:r>
    </w:p>
    <w:p>
      <w:r>
        <w:t>- die Gerichtskosten in der Regel der vor Bundesstrafgericht unterliegenden Partei auferlegt werden (Art. 25 Abs. 4 VStrR i.V.m. Art. 245 BStP und Art. 156 Abs. 1 OG), wobei die Gerichtsgebühr vor der Beschwerdekammer zwischen Fr. 200.-- und Fr. 10'000.-- liegt (Art. 3 des Reglements vom 11. Februar 2004 über die Gerichtsgebühren vor dem Bundesstrafgericht; SR 173.711.32);</w:t>
      </w:r>
    </w:p>
    <w:p>
      <w:r>
        <w:t>- der anwaltlich vertretene A. trotz offensichtlich mangelnden Beschwerdeob- jekts Beschwerde einreichte, weshalb er als unterliegende Partei die Ge- richtsgebühr in der Höhe von Fr. 500.-- zu tragen hat, womit ihm nach Ver- rechnung mit dem geleisteten Kostenvorschuss in der Höhe von Fr. 1'000.-- (act. 4) der Betrag von Fr. 500.-- zurückzuerstatten ist;</w:t>
      </w:r>
    </w:p>
    <w:p>
      <w:r>
        <w:t>- mit diesem Ausgang des Verfahrens A. keine Parteientschädigung ausgerich- tet wird.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