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BV.2005.26 vom 27. September 2005</w:t>
      </w:r>
    </w:p>
    <w:p>
      <w:r>
        <w:t>Bundesstrafgericht, 2005-09-27, DE</w:t>
      </w:r>
    </w:p>
    <w:p>
      <w:r>
        <w:rPr>
          <w:b/>
        </w:rPr>
        <w:t xml:space="preserve">Quelle: </w:t>
      </w:r>
      <w:r>
        <w:t>https://mcp.opencaselaw.ch/entscheid/bstger_BV.2005.26</w:t>
      </w:r>
    </w:p>
    <w:p>
      <w:r>
        <w:t>FR: TPF BV.2005.26 du 27 septembre 2005</w:t>
      </w:r>
    </w:p>
    <w:p>
      <w:r>
        <w:t>IT: TPF BV.2005.26 del 27 settembre 2005</w:t>
      </w:r>
    </w:p>
    <w:p>
      <w:pPr>
        <w:pStyle w:val="Heading2"/>
      </w:pPr>
      <w:r>
        <w:t>Regeste</w:t>
      </w:r>
    </w:p>
    <w:p>
      <w:r>
        <w:t>Beschwerde gegen Ablehnung von Beweisanträgen (Art. 27 VStrR)</w:t>
      </w:r>
    </w:p>
    <w:p>
      <w:pPr>
        <w:pStyle w:val="Heading2"/>
      </w:pPr>
      <w:r>
        <w:t>Erwägungen</w:t>
      </w:r>
    </w:p>
    <w:p>
      <w:r>
        <w:rPr>
          <w:b/>
        </w:rPr>
        <w:t>E. 1.1</w:t>
      </w:r>
    </w:p>
    <w:p>
      <w:r>
        <w:t>Die Zuständigkeit der Beschwerdekammer des Bundesstrafgerichts zum Entscheid über die vorliegende Beschwerde ergibt sich aus Art. 28 Abs. 1 lit. d SGG in Verbindung mit Art. 27 Abs. 3 VStrR. Der Beschwerdeführer ist Partei im Verfahren und durch den Entscheid der Beschwerdegegnerin insofern beschwert, als er ein konkretes Interesse an den abgelehnten Be- weisanträgen dartut. Die Beschwerde ist fristgerecht eingereicht worden (Art. 28 Abs. 3 VStrR). Auf die Beschwerde ist daher einzutreten.</w:t>
      </w:r>
    </w:p>
    <w:p>
      <w:r>
        <w:rPr>
          <w:b/>
        </w:rPr>
        <w:t>E. 1.2</w:t>
      </w:r>
    </w:p>
    <w:p>
      <w:r>
        <w:t>Die Beschwerdekammer des Bundesstrafgerichts prüft den angefochtenen Entscheid der Beschwerdegegnerin nicht in Bezug auf eine allfällige unrich- tige oder unvollständige Feststellung des rechtserheblichen Sachverhalts oder eine allfällige Unangemessenheit. Gerügt werden kann nur die Verlet- zung von Bundesrecht, einschliesslich Überschreitung oder Missbrauch des Ermessens (Art. 27 Abs. 3 VStrR; BGE 119 Ib 12, 14 E. 1.b).</w:t>
      </w:r>
    </w:p>
    <w:p>
      <w:r>
        <w:rPr>
          <w:b/>
        </w:rPr>
        <w:t>E. 2.1</w:t>
      </w:r>
    </w:p>
    <w:p>
      <w:r>
        <w:t>Der Beschwerdeführer macht zunächst geltend, die Beschwerdegegnerin sei bei der Fällung des angefochtenen Entscheids befangen gewesen. Er rügt somit die Verletzung von Bundesrecht, und zwar des Art. 29 VStrR.</w:t>
      </w:r>
    </w:p>
    <w:p>
      <w:r>
        <w:t>Nach der Darstellung des Beschwerdeführers hat die Beschwerdegegnerin ihrer Befangenheit wegen und trotz gegebener Zuständigkeit die Behand- lung der damaligen Beschwerde des Beschwerdeführers gegen den Ent- scheid der Zollkreisdirektion vom 29. März 2005 dem Bundesstrafgericht weitergeleitet und zudem die Abweisung derselben beantragt. Nach dem Rückweisungsentscheid des Bundesstrafgerichts habe jedoch dieselbe Sachbearbeiterin, welche mit der Weiterleitung der Beschwerde ans Bun- desstrafgericht befasst gewesen sei, auch den angefochtenen Beschwer- deentscheid redigiert, ohne dass die selbst deklarierte Befangenheit besei- tigt oder darüber Aufschluss gegeben worden sei, inwiefern eine solche nicht mehr vorhanden gewesen sein solle.</w:t>
      </w:r>
    </w:p>
    <w:p>
      <w:r>
        <w:t>Die Beschwerdegegnerin widerlegt diese Darstellung und führt aus, die damalige Beschwerde des Beschwerdeführers gegen den Entscheid der Zollkreisdirektion vom 29. März 2005 sei deswegen direkt ans Bundes- strafgericht weitergeleitet worden, weil fälschlicherweise vom Vorliegen der Voraussetzungen für einen Sprungrekurs ausgegangen worden sei.</w:t>
      </w:r>
    </w:p>
    <w:p>
      <w:r>
        <w:t>- 6 -</w:t>
      </w:r>
    </w:p>
    <w:p>
      <w:r>
        <w:rPr>
          <w:b/>
        </w:rPr>
        <w:t>E. 2.2</w:t>
      </w:r>
    </w:p>
    <w:p>
      <w:r>
        <w:t>Befangenheit ist laut Art. 29 Abs. 1 lit. c VStrR dann anzunehmen, wenn Beamte, die eine Untersuchung zu führen, einen Entscheid zu treffen oder diesen vorzubereiten haben (sowie Sachverständige, Übersetzer oder Dolmetscher), aus anderen Gründen (als persönliche Interessen oder nahe familiäre Beziehungen; lit. a und b) in der Sache befangen sein könnten. Dies kann sich daraus ergeben, dass sich die fragliche Person bereits in einem früheren Verfahrensstadium mit der konkreten Streitsache befasst hatte (vgl. MÜLLER, Grundrechte in der Schweiz, Bern 1999, S. 579). In die- sen, als Vorbefassung bezeichneten Fällen stellt sich das Problem, ob sich der Richter durch seine Mitwirkung an früheren Entscheidungen in Bezug auf einzelne Fragen bereits in einem Masse festgelegt hat, die ihn nun nicht mehr als unvoreingenommen und demnach das Verfahren nicht mehr als offen erscheinen lassen (BGE 114 Ia 50, 57 E. 3d). Bei der Beurteilung des Anscheins der Befangenheit und der Gewichtung der Umstände, die diesen Anschein und die Gefahr der Voreingenommenheit begründen, kann jedoch nicht auf das subjektive Empfinden einer Partei abgestellt werden; das Misstrauen in den Richter muss vielmehr in objektiver Weise begründet erscheinen (BGE 120 IV 226, 237, E. 4b mit Verweis auf BGE 119 V 456, 465 f. E. 5b). Diese Grundsätze zur Garantie eines verfas- sungsmässigen Richters gelten gemäss der bundesgerichtlichen Recht- sprechung und der Lehre nicht nur in Bezug auf ein Gericht im eigentlichen Sinne, sondern auch in Bezug auf die Strafuntersuchungs- und Anklagebe- hörden (OBERHOLZER, Grundzüge des Strafprozessrechts, 2. Aufl., Bern 2005, N. 202). Da das Verwaltungsstrafrecht zum Nebenstrafrecht des Bundes zählt und das Verwaltungsstrafverfahren gemäss einhelliger Auf- fassung von Lehre und Rechtsprechung daher ein eigentliches Strafverfah- ren darstellt, gelten die durch das Bundesgericht für das Strafverfahren aus Art. 4 BV hergeleiteten rechtsstaatlichen Verfahrensgarantien auch für die- ses Verfahren (BGE 120 IV 226, 237, E. 4.b).</w:t>
      </w:r>
    </w:p>
    <w:p>
      <w:r>
        <w:rPr>
          <w:b/>
        </w:rPr>
        <w:t>E. 2.3</w:t>
      </w:r>
    </w:p>
    <w:p>
      <w:r>
        <w:t>Die Beschwerdegegnerin ist gestützt auf Art. 87 des Zollgesetzes vom 1. Oktober 1925 (ZG; SR 631.0) die zuständige Behörde für den Erlass von Straf- und Einziehungsbescheiden, Straf- und Einziehungsverfügungen sowie Einstellungsbeschlüssen, soweit nicht eine Delegation der Strafkom- petenzen an die Zollkreisdirektionen vorliegt (vgl. Verordnung des EFD vom 10. Dezember 2002 über die Strafkompetenzen der Zollverwaltung; SR 631.31). Die Beschwerdegegnerin vertritt sodann die Verwaltung vor Gericht (Art. 21 und 73 VStrR) und leitet die Zollverwaltung, welche u.a. aus den Zollkreisdirektionen besteht, (Art. 131 Abs. 1 i.V.m. Art. 140 Abs. 1 Ziff. 2 ZG) resp. fungiert als Aufsichtsorgan über diese (vgl. Botschaft des Bundesrates zur Revision des Bundesgesetzes über das Zollwesen vom 9. Januar 1924, BBl 1924 I 21, 66). Wie die Beschwerdegegnerin zu Recht</w:t>
      </w:r>
    </w:p>
    <w:p>
      <w:r>
        <w:t>- 7 -</w:t>
      </w:r>
    </w:p>
    <w:p>
      <w:r>
        <w:t>ausführt, lässt sich aufgrund dieser gesetzlichen Regelung nicht verhin- dern, dass sie sich mit einem Fall unter Umständen mehrfach zu befassen hat. Dies ist jedoch im Hinblick auf die Frage des Ausstandes nicht proble- matisch: Befangenheit betrifft stets die konkrete Person, die entscheidet oder verfügt, und wäre erst dann anzunehmen, wenn diese sich in einem früheren Verfahrensstadium, der mit einem Entscheid abgeschlossen wor- den ist, mit der Streitsache bereits dergestalt befasst hat, dass der Aus- gang des in Frage stehenden Verfahrens nicht mehr offen erscheint. Mit der Weiterleitung der damaligen Beschwerde des Beschwerdeführers ge- gen den Entscheid der Zollkreisdirektion vom 29. März 2005 an die Be- schwerdekammer des Bundesstrafgerichts hat die Beschwerdegegnerin in der Person der vom Beschwerdeführer genannten Sachbearbeiterin (B.) gerade keinen Entscheid in der Streitsache gefällt. Die Rückweisung eines Entscheids zur Neubeurteilung an die Vorinstanz stellt gemäss bundesge- richtlicher Rechtsprechung keine unzulässige Vorbefassung dar (Müller, a.a.O., S. 580, mit Verweis auf BGE 116 Ia 28 ff.). Nichts anderes kann für die Rückweisung eines Entscheids zur Erstbeurteilung gelten.</w:t>
      </w:r>
    </w:p>
    <w:p>
      <w:r>
        <w:t>Die Problematik der Befangenheit, welche den Ausstand der betreffenden Person zur Folge hat, ist von der Problematik zu trennen, dass eine (nicht endgültig entscheidende) Beschwerdeinstanz sich in der Weise mit einem Fall vorbefasst hat, dass sie gegenüber der verfügenden Vorinstanz eine konkrete Weisung in Bezug auf den Entscheid erteilt hat. Diesfalls sieht das Gesetz für das Verwaltungsverfahren die Möglichkeit des sogenannten Sprungrekurses vor, wonach die Verfügung direkt bei der nächsthöheren Instanz anzufechten ist (Art. 47 Abs. 2 VwVG). Zweck des Sprungrekurses ist es, unnötige Prozessschritte zu vermeiden und einen Verfahrensleerlauf zu verhindern (Entscheid der Eidgenössischen Zollrekurskommission vom 24. Oktober 1997, VPB 63/1999 N. 22, S. 197 E. 1b). Diese Art von Vorbe- fasstheit führt somit zur Durchbrechung des Instanzenzuges, nicht aber zum Ausstand. Im vorliegenden Fall ging die Beschwerdegegnerin in sinn- gemässer Anwendung des Art. 47 Abs. 2 VwVG ursprünglich vom Vorlie- gen der Voraussetzungen für einen Sprungrekurs aus, was die Beschwer- dekammer des Bundesstrafgerichts mit ihrem Rückweisungsentscheid vom 25. Mai 2005 (BV.2005.22) implizit verneinte.</w:t>
      </w:r>
    </w:p>
    <w:p>
      <w:r>
        <w:t>Die Rüge des Beschwerdeführers erweist sich gestützt auf die obigen Er- wägungen als unbegründet.</w:t>
      </w:r>
    </w:p>
    <w:p>
      <w:r>
        <w:rPr>
          <w:b/>
        </w:rPr>
        <w:t>E. 3</w:t>
      </w:r>
    </w:p>
    <w:p>
      <w:r>
        <w:t>Der Beschwerdeführer wirft der Beschwerdegegnerin sodann vor, durch das Nichteintreten auf die Rüge in Bezug auf die Ergänzung der Untersu-</w:t>
      </w:r>
    </w:p>
    <w:p>
      <w:r>
        <w:t>- 8 -</w:t>
      </w:r>
    </w:p>
    <w:p>
      <w:r>
        <w:t>chung Bundesrecht (Art. 61 Abs. 4 VStrR) verletzt zu haben. Nach seiner Ansicht ist die Ablehnung der Untersuchungsergänzung mit Beschwerde anfechtbar, wenn die Verwaltung die gerichtliche Überweisung vorzuneh- men, anstatt einen Strafbescheid zu erlassen gedenkt. Die Prüfung dieser Rüge wird ihres Ergebnisses wegen vorgezogen.</w:t>
      </w:r>
    </w:p>
    <w:p>
      <w:r>
        <w:t>Art. 61 Abs. 4 VStrR schliesst die Beschwerde gegen die Eröffnung des Schlussprotokolls und seinen Inhalt aus, mögen allfällige Mängel noch so offensichtlich oder gravierend sein (BÖCKLI, Zweimal sieben Tücken des neuen Verwaltungsstrafrechtes, BJM 1979, 169 ff., S. 184 FN. 38). Zudem bestimmt derselbe Artikel, dass die Ablehnung des Antrags auf Ergänzung der Untersuchung nur in Verbindung mit dem Strafbescheid resp. im späte- ren Verfahren angefochten werden kann (vgl. auch Urteil der Anklagekam- mer des Bundesgerichts vom 11. November 1998, VPB 63/1999 Nr. 52, S. 509: „La loi exclut clairement toute voie de droit contre la notification du rapport et de son contenu. Le rejet d’une requête en complément d’enquête ne peut être attaqué qu’ultérieurement, dans la procédure normale“). Ein Rechtsmittel gegen das Schlussprotokoll oder die Anfechtungsmöglichkeit der Ablehnung der Untersuchungsergänzung sind aber in diesem Verfah- rensstadium auch gar nicht nötig: Wird ein Strafbescheid erlassen, kann der Beschuldigte seine Einwände gegen das Schlussprotokoll sowie gegen die Ablehnung der Untersuchungsergänzung mit der Einsprache gegen den Strafbescheid formulieren (SCHWOB, Verwaltungsstrafrecht des Bundes, SJK Karten 1286 – 1290 [1985], 1289, S. 6). Kann im konkreten Fall ein Strafbescheid hingegen nicht erlassen werden, weil die Voraussetzungen für eine Freiheitsstrafe gegeben sind (Art. 21 Abs. 1 VStrR), so wird der Fall ohne Strafbescheid direkt dem zuständigen Gericht überwiesen. Hier findet die Abzweigung des Rechtsweges in einem früheren Stadium statt, nämlich unmittelbar nach dem Schlussprotokoll (BÖCKLI, a.a.O., S. 187). Der Beschuldigte kann seine Einwendungen gegen das Schlussprotokoll sowie gegen die Ablehnung der Untersuchungsergänzung im gerichtlichen Verfahren vorbringen. Das VStrR räumt dem Beschwerdeführer in Art. 75 Abs. 2 das Recht ein, die Ergänzung der Akten zu verlangen, und in Art. 77 Abs. 1 das Recht, weitere zur Aufklärung des Sachverhalts erforderliche Beweisaufnahmen oder die Wiederholung der Beweisaufnahmen der Ver- waltung zu verlangen.</w:t>
      </w:r>
    </w:p>
    <w:p>
      <w:r>
        <w:t>Die Beschwerdegegnerin hat damit durch ihren Nichteintretensentscheid in Bezug auf die Anfechtung der Ablehnung der Untersuchungsergänzung Art. 61 Abs. 4 VStrR nicht verletzt.</w:t>
      </w:r>
    </w:p>
    <w:p>
      <w:r>
        <w:t>- 9 -</w:t>
      </w:r>
    </w:p>
    <w:p>
      <w:r>
        <w:rPr>
          <w:b/>
        </w:rPr>
        <w:t>E. 4</w:t>
      </w:r>
    </w:p>
    <w:p>
      <w:r>
        <w:t>Der Beschwerdeführer rügt im Ergebnis, die Beschwerdegegnerin habe ihr Ermessen rechtsmissbräuchlich ausgeübt, indem sie die Ergänzung der Untersuchung durch Erhebung der beantragten (entlastenden) Beweismit- tel abgelehnt habe. Konkret habe der Beschwerdeführer beantragt, es sei der Mietvertrag betreffend der Liegenschaft „Z.“ zwischen der „C. AG“ und der „D. AG“, inklusive sämtlicher Beilagen beizuziehen, eventuell sei die Vermieterschaft betreffend der Frage, welche Räumlichkeiten zum Mietver- trag gehörten, welche Schlüssel abgegeben wurden und ob die separate Waschküche abgeschlossen werden konnte, zu befragen, und es sei ein Augenschein vor Ort vorzunehmen. Die Beschwerdegegnerin müsse die Tatsachen feststellen und auch die Beweise abnehmen, die der Entlastung des Beschwerdeführers dienen.</w:t>
      </w:r>
    </w:p>
    <w:p>
      <w:r>
        <w:t>Die Ablehnung des Antrags auf Ergänzung der Untersuchung kann nur in Verbindung mit dem Strafbescheid resp. erst im späteren gerichtlichen Ver- fahren angefochten werden (vgl. E. 3). Vor diesem Zeitpunkt besteht keine Beschwerdemöglichkeit. Die Beschwerdegegnerin ist daher zu Recht auf die entsprechende Rüge des Beschwerdeführers in seiner damaligen Be- schwerde nicht eingetreten und ebenso kann die Beschwerdekammer im vorliegenden Verfahren auf diese Rüge des Beschwerdeführers nicht ein- treten.</w:t>
      </w:r>
    </w:p>
    <w:p>
      <w:r>
        <w:rPr>
          <w:b/>
        </w:rPr>
        <w:t>E. 5</w:t>
      </w:r>
    </w:p>
    <w:p>
      <w:r>
        <w:t>Schliesslich rügt der Beschwerdeführer die Verletzung des Anspruchs auf rechtliches Gehör und auf gehörige Verteidigung sowie die Verletzung des Willkürverbots, indem die Beschwerdegegnerin die Beweisanträge des Be- schwerdeführers in vorweggenommener Würdigung abgelehnt habe und ihm in Bezug auf den verwaltungsstrafrechtlichen Teil des Verfahrens nur in ungenügender Weise Akteneinsicht gewährt worden sei.</w:t>
      </w:r>
    </w:p>
    <w:p>
      <w:r>
        <w:rPr>
          <w:b/>
        </w:rPr>
        <w:t>E. 5.1</w:t>
      </w:r>
    </w:p>
    <w:p>
      <w:r>
        <w:t>Das Recht des Beschuldigten auf Beweisanträge lässt sich einerseits auf den Anspruch auf rechtliches Gehör aus Art. 29 Abs. 2 BV und Art. 6 Ziff. 3 lit. d EMRK zurückführen, ergibt sich andererseits aber für das Verwal- tungsstrafverfahren auch aus Art. 37 Abs. 2, Art. 39 Abs. 2, 41 Abs. 3 so- wie Art. 61 Abs. 2 VStrR für das Untersuchungsverfahren, aus Art. 68 Abs. 2 VStrR für das Einspracheverfahren sowie – für den Fall einer Überwei- sung an das Gericht – aus Art. 75 Abs. 2 und Art. 77 Abs. 1 VStrR für die Hauptverhandlung. Das Recht, Entlastungszeugen zu laden und zu befra- gen, ist indessen relativer Natur. Der Richter hat insoweit nur solche Be- weisbegehren, Zeugenladungen sowie Fragen zu berücksichtigen und zu- zulassen, die nach seiner Würdigung rechts- und entscheiderheblich sind (BGE 129 I 151, 154 E. 3.1; 125 I 127, 135 f. E. 6.c cc). Der verfassungs-</w:t>
      </w:r>
    </w:p>
    <w:p>
      <w:r>
        <w:t>- 10 -</w:t>
      </w:r>
    </w:p>
    <w:p>
      <w:r>
        <w:t>und konventionsgeschützte Anspruch ist grundsätzlich gewährleistet, wenn erhebliche Anträge berücksichtigt und die entsprechenden Beweise einmal im (Verwaltungs-)Strafverfahren abgenommen werden (a fortiori aus BGE 125 I 127, 136 E. 6c; bestätigt im Entscheid des Bundesstrafgerichts BK_B 132/04 vom 21. Oktober 2004, E. 3.1). Verfassung und EMRK schreiben nicht vor, in welchem Verfahrensstadium dies zu erfolgen hat. Da das VStrR diese Möglichkeit in allen drei Verfahrensphasen vorsieht, verletzt die Ablehnung der Beweisanträge jedenfalls weder Art. 29 Abs. 1 BV noch Art. 6 Ziff. 3 lit. d EMRK, zumal mit dem generellen Hinweis auf die perso- nelle Situation an kantonalen Gerichten nicht dargetan wird und auch nicht nahe liegend erscheint, dass eine Abnahme dieser Beweisanträge an der Hauptverhandlung nicht mehr möglich sein sollte. Die Vermieterschaft hat Sitz in der Schweiz und dort befinden sich auch die allenfalls in Augen- schein zu nehmenden Örtlichkeiten. Ein unverhältnismässiger Personal- aufwand ist aus der Vornahme dieser Beweisanträge nicht zu erwarten.</w:t>
      </w:r>
    </w:p>
    <w:p>
      <w:r>
        <w:rPr>
          <w:b/>
        </w:rPr>
        <w:t>E. 5.2</w:t>
      </w:r>
    </w:p>
    <w:p>
      <w:r>
        <w:t>Art. 6 Ziff. 3 lit. b EMRK garantiert jedem Beschuldigten, über ausreichend Zeit und Gelegenheit zur Vorbereitung seiner Verteidigung zu verfügen. Diese Garantie gilt nicht nur zur Vorbereitung der Hauptverhandlung, son- dern der Verteidigung insgesamt. Diese Bestimmung will insbesondere den sog. „kurzen Prozess“ vermeiden, wenn er – selbst bei korrekter Durchfüh- rung – dem Beschuldigten faktisch die Verteidigung verunmöglicht. Die Bemessung der „ausreichenden Zeit“ hängt dabei u.a. von der Komplexität der Sache und dem Umfang des Dossiers ab. Werden dem Beschuldigten die Garantien gemäss Art. 6 Ziff. 3 lit. b EMRK gewährt, nimmt er sie aber nicht wahr, kann er anschliessend nicht deren Verletzung rügen (vgl. zum Ganzen VILLIGER, Handbuch der Europäischen Menschenrechtskonvention [EMRK], 2. Aufl., Zürich 1999, N. 509 f. zu Art. 6 EMRK). Vom Anwalt wird erwartet, dass er einzelne Arbeiten zugunsten der dringenderen Vorberei- tung der Verteidigung des betreffenden Beschuldigten zurückstellt (VILLI- GER, a.a.O., N. 513 zu Art. 6 EMRK). Das Recht des Beschuldigten, genü- gend Zeit und Gelegenheit zur Vorbereitung seiner Verteidigung zu erhal- ten, steht in einem gewissen Spannungsverhältnis zum Verbot der Rechts- verzögerung (Art. 29 Abs. 1 BV, Art. 6 Ziff. 1 EMRK, Art. 14 Abs. 3 lit. c UNO-Pakt II). Den Justizbehörden erwächst aus dem Rechtsverzöge- rungsverbot die Pflicht, die Verfahren beförderlich zu behandeln (MÜLLER, a.a.O., S. 506). Um dieser Pflicht nachkommen zu können, muss das Recht des Beschuldigten auf gehörige Verteidigung mitunter, wenn nötig, auf ein verhältnismässiges Mass reduziert werden.</w:t>
      </w:r>
    </w:p>
    <w:p>
      <w:r>
        <w:rPr>
          <w:b/>
        </w:rPr>
        <w:t>E. 5.3</w:t>
      </w:r>
    </w:p>
    <w:p>
      <w:r>
        <w:t>Der Anwalt des Beschwerdeführers wurde mit Verfügung der Beschwerde- gegnerin vom 31. Juli 2003 zum amtlichen Verteidiger des Beschwerdefüh-</w:t>
      </w:r>
    </w:p>
    <w:p>
      <w:r>
        <w:t>- 11 -</w:t>
      </w:r>
    </w:p>
    <w:p>
      <w:r>
        <w:t>rers ernannt (act. 5.2). Im Bestreben, die Interessen des Beschwerdefüh- rers gebührend zu berücksichtigen, schlug die Beschwerdegegnerin dem Verteidiger des Beschwerdeführers bereits im April 2003 ein Treffen vor (Akten Band VI/363), um insbesondere den zeitlichen Aufwand für die Ver- teidigung zu diskutieren (Akten Band VI/369 S. 2), was dieser jedoch ab- lehnte (Akten Band VI/366). Nach seiner Ernennung wurden dem amtlichen Verteidiger des Beschwerdeführers die Originalakten ausgehändigt (am</w:t>
      </w:r>
    </w:p>
    <w:p>
      <w:r>
        <w:rPr>
          <w:b/>
        </w:rPr>
        <w:t>E. 7</w:t>
      </w:r>
    </w:p>
    <w:p>
      <w:r>
        <w:t>Oktober 2003 [Akten Band VI/384], am 26. November 2003 [Akten Band VI/395] und am 10. Januar 2005 [Akten Band X/477]), verschiedentlich die Akteneinsicht in Berücksichtigung von Terminwünschen gewährt (siehe Ak- ten Ordner VI und X) und im persönlichen Gespräch den Verfahrensablauf sowie die Modalitäten der Akteneinsichtnahme erklärt resp. im gegenseiti- gen Einverständnis vereinbart (30. September 2003,</w:t>
      </w:r>
    </w:p>
    <w:p>
      <w:r>
        <w:rPr>
          <w:b/>
        </w:rPr>
        <w:t>E. 11</w:t>
      </w:r>
    </w:p>
    <w:p>
      <w:r>
        <w:t>und 25. März 2004, 1. April 2004, 9. Dezember 2004; vgl. Akten Band VI/412, 429; Band X/471). Demgegenüber hielt der Verteidiger des Beschwerde- führers verschiedentlich Fristen und gar selbst gestellte Prognosen in Be- zug auf die für das Aktenstudium benötigte Zeit nicht ein (Akten Band VI/389, 398, 415), nahm die Möglichkeit der Akteneinsicht – entgegen der selbst erklärten wöchentlichen Disponibilität (Akten Band VI/448) – teilwei- se nur unregelmässig wahr (Akten Band VI/435, 437), sagte verschiedent- lich in gegenseitiger Absprache mit der Zollkreisdirektion vereinbarte Akte- neinsichts- resp. Einvernahmetermine, teilweise ohne Begründung, ab (Ak- ten Band VI/416, 417, 418, 423; Band X/455, 458) und ersuchte verschie- dentlich um Terminverschiebungen (Akten Band VI/378, 416, 418, 423; Band X/458). Diese wurde ihm von der Zollkreisdirektion immer wieder ge- währt (Akten Band VI/416, 418, 424, 429 S. 6; Band X/462).</w:t>
      </w:r>
    </w:p>
    <w:p>
      <w:r>
        <w:t>Wenngleich es sich um eine grosse Anzahl Dossiers (Hauptdossiers: 12 Bundesordner, Speditionsdossiers: ca. 4'500 Ordner) handelt, erscheinen die von der Zollkreisdirektion gegenüber dem Verteidiger des Beschwerde- führers gestellten – von diesem nicht eingehaltenen und zu seinen Gunsten verlängerten (Akten Band VI/429 S. 6) – Prognosen in Bezug auf die unge- fähre benötigte Zeit für die Durchsicht der Dossiers sowie die hierzu gelie- ferten Begründungen (Akten Band VI/411a, 429 S. 5 f., 450) durchaus rea- listisch und plausibel. Die Zollkreisdirektion hat dabei die vom ersten Pflichtverteidiger aufgewendete Zeit für das Studium eines Teils der Akten (rund 3 Monate für Part 1, dem umfangreichsten Teil der Speditionsdos- siers; Akten Ordner VI/425 S. 2) sowie die vom aktuellen Verteidiger des Beschwerdeführers in Bezug auf die Hauptdossiers aufgewendete Zeit von ca. 4 Monaten (von der ersten Aktenübergabe vom 7. Oktober 2003 an bis zum Schreiben des Verteidigers vom 2. Februar 2004) berücksichtigt (Ak- ten Band VI/401, 429 S. 5). Angesichts der oben geschilderten Sachlage</w:t>
      </w:r>
    </w:p>
    <w:p>
      <w:r>
        <w:t>- 12 -</w:t>
      </w:r>
    </w:p>
    <w:p>
      <w:r>
        <w:t>und der Versäumnisse des Pflichtverteidigers, kann von einer Verletzung der Verteidigungsrechte durch die Beschwerdegegnerin nicht die Rede sein. Auch dem Argument, die Akteneinsicht in Bezug auf den strafrechtli- chen Teil des Verfahrens könne nicht gleichzeitig mit derjenigen in Bezug auf den abgaberechtlichen Verfahrensteil vorgenommen werden, kann nicht gefolgt werden: Das Steuerstrafverfahren besteht naturgemäss aus einem abgabe- und einem strafrechtlichen Teil. Es liegt in der Verantwor- tung des Verteidigers, im Rahmen der ihm gewährten Möglichkeiten die Ak- teneinsicht in Bezug auf beide Verfahrensteile vorzunehmen. Dazu wurde dem Verteidiger des Beschwerdeführers seit dem 7. Oktober 2003, mithin über einen Zeitraum von über zwei Jahren (zunächst bis zum Erlass der Nachbezugsverfügung vom 11. Oktober 2004, und auch danach) verschie- dentlich die Gelegenheit geboten. Das Vorgehen der Beschwerdegegnerin liegt im Bereich des ihr zustehenden Ermessens und ist daher rechtmässig.</w:t>
      </w:r>
    </w:p>
    <w:p>
      <w:r>
        <w:t>6. Bei diesem Ausgang des Verfahrens hat der Beschwerdeführer die Kosten desselben zu tragen (Art. 25 Abs. 4 VStrR i.V.m. Art. 245 BStP und Art. 156 Abs. 1 OG). Es ist eine Gerichtsgebühr von Fr. 3'500.-- anzusetzen (Art. 3 des Reglements vom 11. Februar 2004 über die Gerichtsgebühren vor dem Bundesstrafgericht, SR 173.711.32). Diese wird dem Beschwerde- führer, unter Anrechnung des geleisteten Kostenvorschusses von Fr. 500.--, auferlegt.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