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BV.2005.25 vom 12. Juli 2005</w:t>
      </w:r>
    </w:p>
    <w:p>
      <w:r>
        <w:t>Bundesstrafgericht, 2005-07-12, FR</w:t>
      </w:r>
    </w:p>
    <w:p>
      <w:r>
        <w:rPr>
          <w:b/>
        </w:rPr>
        <w:t xml:space="preserve">Quelle: </w:t>
      </w:r>
      <w:r>
        <w:t>https://mcp.opencaselaw.ch/entscheid/bstger_BV.2005.25</w:t>
      </w:r>
    </w:p>
    <w:p>
      <w:r>
        <w:t>FR: TPF BV.2005.25 du 12 juillet 2005</w:t>
      </w:r>
    </w:p>
    <w:p>
      <w:r>
        <w:t>IT: TPF BV.2005.25 del 12 luglio 2005</w:t>
      </w:r>
    </w:p>
    <w:p>
      <w:pPr>
        <w:pStyle w:val="Heading2"/>
      </w:pPr>
      <w:r>
        <w:t>Regeste</w:t>
      </w:r>
    </w:p>
    <w:p>
      <w:r>
        <w:t>Refus de levée partielle de séquestre (art. 26 DPA)</w:t>
      </w:r>
    </w:p>
    <w:p>
      <w:pPr>
        <w:pStyle w:val="Heading2"/>
      </w:pPr>
      <w:r>
        <w:t>Erwägungen</w:t>
      </w:r>
    </w:p>
    <w:p>
      <w:r>
        <w:rPr>
          <w:b/>
        </w:rPr>
        <w:t>E. 1.1</w:t>
      </w:r>
    </w:p>
    <w:p>
      <w:r>
        <w:t>Interjetée dans le délai et selon les exigences découlant des art. 26 et 28 DPA, la plainte est recevable à la forme.</w:t>
      </w:r>
    </w:p>
    <w:p>
      <w:r>
        <w:rPr>
          <w:b/>
        </w:rPr>
        <w:t>E. 1.2</w:t>
      </w:r>
    </w:p>
    <w:p>
      <w:r>
        <w:t>Sous réserve d'abus, la personne dont les valeurs patrimoniales font l'objet d'un séquestre conservatoire est en droit de solliciter en tout temps la levée totale ou partielle de cette mesure et, en cas de refus, de s'en plaindre au- près de l'autorité compétente. Comme toute mesure de contrainte, le sé- questre conservatoire est une mesure provisoire qui peut être appelée à être levée ou modifiée jusqu'au moment du jugement de la cause. Sa légi- timité et sa conformité au principe de proportionnalité doivent ainsi être ré- gulièrement vérifiées au vu des preuves réunies dans l'instruction du dos- sier (arrêt de la Cour des plaintes BB.2005.28 du 7 juillet 2005 consid. 2;</w:t>
      </w:r>
    </w:p>
    <w:p>
      <w:r>
        <w:t>- 4 -</w:t>
      </w:r>
    </w:p>
    <w:p>
      <w:r>
        <w:t>ATF 122 IV 91 consid. 4 p. 96; 120 IV 297 consid. 3e p. 299; 119 IV 326 consid. 7e p. 328/329; PIQUEREZ, Procédure pénale suisse, Zürich 2000, n° 2570, 2571 p. 554; SCHMID, Strafprozessrecht, Zürich 2004, n° 750 p. 278). La présente plainte étant dirigée contre le refus de Swissmedic de lever partiellement les séquestres ordonnés par cet institut elle est donc également recevable quant à son objet.</w:t>
      </w:r>
    </w:p>
    <w:p>
      <w:r>
        <w:rPr>
          <w:b/>
        </w:rPr>
        <w:t>E. 1.3</w:t>
      </w:r>
    </w:p>
    <w:p>
      <w:r>
        <w:t>S'agissant toutefois du déblocage d'une somme de Fr. 375.-- destinée à l'acquittement d'une avance de frais relative à une précédente procédure, la plainte est devenue sans objet et, partant, irrecevable. Par décision du</w:t>
      </w:r>
    </w:p>
    <w:p>
      <w:r>
        <w:rPr>
          <w:b/>
        </w:rPr>
        <w:t>E. 2</w:t>
      </w:r>
    </w:p>
    <w:p>
      <w:r>
        <w:t>En ce qui concerne les autres postes de la requête en levée partielle des séquestres ordonnés, il y a lieu de renvoyer aux considérants de l'arrêt susmentionné du 23 juin écoulé (BV.2005.20, spéc. consid. 3) et de répéter qu'en l'état de la procédure, les séquestres sont fondés au regard des me- sures prévisibles au sens de l'art. 59 CP. Le soupçon existe en effet que, sinon la totalité, du moins une partie importante de l'activité des plaignants soit prohibée au regard de la LPTh. Une mesure de confiscation ou la condamnation au paiement d'une créance compensatrice sont donc sérieu- sement envisageables. C'est d'ailleurs le lieu de rappeler que, s'il devait se vérifier que les valeurs séquestrées ont été obtenues par la vente de pro- duits prohibés, leur confiscation s'imposera au regard de l'art. 59 CP, cette mesure l'emportant sur toute prétention de nature civile émanant de tiers créanciers (ATF 123 II 595 consid. 6b/bb p. 613). Or, de jurisprudence constante, aussi longtemps que persiste une possibilité de confiscation, l'in- térêt public impose de maintenir le séquestre (arrêt de la Cour des plaintes BB.2005.28 du 7 juillet 2005 consid. 2; ATF 125 IV 222 consid. 2 non pu- blié; 124 IV 313 consid. 3b et 4; SJ 1994 p. 97, 102).</w:t>
      </w:r>
    </w:p>
    <w:p>
      <w:r>
        <w:rPr>
          <w:b/>
        </w:rPr>
        <w:t>E. 3</w:t>
      </w:r>
    </w:p>
    <w:p>
      <w:r>
        <w:t>Les précisions apportées au débat par l'instruction de la présente plainte permettent par ailleurs de considérer – toujours en l'état – que les mesures ordonnées respectent le principe de la proportionnalité. L'affirmation des plaignants, selon laquelle le séquestre des comptes litigieux les empêche- rait de poursuivre leurs activités sociales, est en effet peu crédible. Selon les pièces qu'ils ont eux-mêmes produites (cause BV.2004.24), les plai- gnants se livrent à la vente, au négoce et à la commercialisation de com-</w:t>
      </w:r>
    </w:p>
    <w:p>
      <w:r>
        <w:t>- 5 -</w:t>
      </w:r>
    </w:p>
    <w:p>
      <w:r>
        <w:t>pléments nutritionnels depuis leurs bureaux communs situés à Z.______. Le loyer d'un appartement à Y.______ est ainsi étranger à l'activité com- merciale des sociétés plaignantes. Dans leur plainte du 7 avril 2005 (cause BV.2005.20 act. 1), ces dernières précisaient d'ailleurs que cet apparte- ment constituait le logement privé de leur directeur (BV.2005.20 act. 1 ch. 1 p. 2). On ne voit donc pas en quoi il incomberait à la société C.______ S.A. d'en assumer le coût. L'autre poste substantiel de la requête en levée par- tielle des séquestres concerne des frais relatifs à un véhicule automobile, dont on ne voit pas non plus quelle utilité il pourrait avoir pour la conduite des activités sociales de la société B.______ S.A. Celle-ci s'abstient d'ail- leurs de toute précision à ce propos. On est ainsi en droit de considérer que, pour l'essentiel, les valeurs dont les plaignants requièrent la mise à disposition ne concernent pas le fonctionnement de leur commerce. A cela s'ajoute que, dans ses écritures relatives à la plainte susdite, Swissmedic affirmait, précisions à l'appui, que les plaignants disposaient d'autres comp- tes bancaires ou postaux que ceux qui avaient été l'objet de la mesure liti- gieuse. Or les plaignants s'abstiennent de contester ce fait. On relèvera en- fin que, selon les détails fournis par les plaignants dans leur requête du 13 mai 2005 (BV.2005.25 act. 1.3), les crédits "avant blocage" figurant aux trois comptes concernés par la présente cause ne totalisent que quelques dizaines de milliers de francs, ce qui n'est guère considérable. Il est ainsi possible de douter que la privation de telles ressources soit de nature à en- traver sérieusement la marche de trois sociétés commerciales.</w:t>
      </w:r>
    </w:p>
    <w:p>
      <w:r>
        <w:rPr>
          <w:b/>
        </w:rPr>
        <w:t>E. 4</w:t>
      </w:r>
    </w:p>
    <w:p>
      <w:r>
        <w:t>Les plaignants saisissent encore l'occasion de leur dernière démarche pour requérir la libération de deux montants de Fr. 1’000.-- chacun, aux fins d'acquitter le solde des émoluments mis à leur charge par deux arrêts pré- cédents de la Cour. Le premier de ces montants a été mis à la charge soli- daire des sociétés plaignantes par arrêt du 19 novembre 2004 (arrêt BK_B 156/04 devenu BV.2004.24), soit de plus de quatre mois avant le séquestre conservatoire des comptes litigieux. Ces sociétés ont ainsi disposé d'un ré- pit largement suffisant pour faire face à cette dette et la mesure ne saurait ainsi être levée aux seules fins de pallier leur négligence. Quant au second émolument, il découle certes d'un arrêt postérieur à la mesure de séques- tre ; cette décision n'a toutefois pas empêché les plaignants de continuer à procéder et, partant, à engager des honoraires d'avocat et des frais judiciai- res, ce qui tend à démontrer que, nonobstant les séquestres, les précités disposent de ressources suffisantes pour défendre leurs intérêts en justice. Une levée partielle du blocage des comptes ne se justifie donc pas à cette fin.</w:t>
      </w:r>
    </w:p>
    <w:p>
      <w:r>
        <w:t>- 6 -</w:t>
      </w:r>
    </w:p>
    <w:p>
      <w:r>
        <w:rPr>
          <w:b/>
        </w:rPr>
        <w:t>E. 5</w:t>
      </w:r>
    </w:p>
    <w:p>
      <w:r>
        <w:t>La plainte doit ainsi être rejetée dans la mesure où elle est recevable. En application de l'art. 156 OJ (applicable par renvoi des art. 245 PPF et 25 al. 4 DPA) et de l'art. 3 du règlement du 11 février 2004 fixant les émoluments judiciaires perçus par le Tribunal pénal fédéral (RS 173.711.32), un émo- lument de Fr. 1'500.-- dont à déduire le montant de l'avance de frais effec- tuée, sera mis à la charge solidaire des plaignants.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