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BV.2005.24 vom 12. Juli 2005</w:t>
      </w:r>
    </w:p>
    <w:p>
      <w:r>
        <w:t>Bundesstrafgericht, 2005-07-12, IT</w:t>
      </w:r>
    </w:p>
    <w:p>
      <w:r>
        <w:rPr>
          <w:b/>
        </w:rPr>
        <w:t xml:space="preserve">Quelle: </w:t>
      </w:r>
      <w:r>
        <w:t>https://mcp.opencaselaw.ch/entscheid/bstger_BV.2005.24</w:t>
      </w:r>
    </w:p>
    <w:p>
      <w:r>
        <w:t>FR: TPF BV.2005.24 du 12 juillet 2005</w:t>
      </w:r>
    </w:p>
    <w:p>
      <w:r>
        <w:t>IT: TPF BV.2005.24 del 12 luglio 2005</w:t>
      </w:r>
    </w:p>
    <w:p>
      <w:pPr>
        <w:pStyle w:val="Heading2"/>
      </w:pPr>
      <w:r>
        <w:t>Regeste</w:t>
      </w:r>
    </w:p>
    <w:p>
      <w:r>
        <w:t>Reclamo contro sequestro di apparecchi automatici da gioco (art. 46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alle premesse degli art. 45-60 DPA; DTF 125 IV 222 consid. 2c, non pub- blicato). Adita con un reclamo ai sensi dell’art. 26 cpv. 1 DPA, la Corte dei reclami penali non può peraltro statuire sul merito del procedimento, ma deve limitarsi all’esame dell’ammissibilità del sequestro in quanto tale (DTF 119 IV 326 consid. 7c e d). Secondo costante giurisprudenza, finché sussi- ste una possibilità di confisca, l’interesse pubblico impone di mantenere il sequestro cautelativo (DTF 124 IV 313 consid. 3b e 4; SJ 1994 pag. 97, 102).</w:t>
      </w:r>
    </w:p>
    <w:p>
      <w:r>
        <w:t>- 4 -</w:t>
      </w:r>
    </w:p>
    <w:p>
      <w:r>
        <w:rPr>
          <w:b/>
        </w:rPr>
        <w:t>E. 1.1</w:t>
      </w:r>
    </w:p>
    <w:p>
      <w:r>
        <w:t>Il sequestro impugnato è stato ordinato dalla CFCG in applicazione dell’art. 46 DPA. Secondo tale disposizione il funzionario inquirente deve seque- strare gli oggetti che possono avere importanza come mezzo di prova e quelli che saranno presumibilmente confiscati (art. 46 cpv. 1 DPA). Altri og- getti serviti a commettere l’infrazione possono essere sequestrati quando ciò appaia necessario per impedire nuove infrazioni (art. 46 cpv. 2 DPA).</w:t>
      </w:r>
    </w:p>
    <w:p>
      <w:r>
        <w:rPr>
          <w:b/>
        </w:rPr>
        <w:t>E. 1.2</w:t>
      </w:r>
    </w:p>
    <w:p>
      <w:r>
        <w:t>Il sequestro ai sensi dell’art. 46 DPA costituisce una misura processuale provvisionale, volta ad assicurare i mezzi di prova nel corso dell’inchiesta (DTF 124 IV 313 consid. 4 e riferimenti). Per sua natura tale provvedimento va preso rapidamente, ritenuto che, di regola, spetterà al giudice di merito pronunciare le misure definitive (quali la confisca) e determinare eventuali diritti di terzi sui beni in questione. Requisiti per i provvedimenti coattivi pre- visti agli art. 45 e segg. DPA, e quindi anche per il sequestro, sono l’esistenza di indizi sufficienti relativi alla commissione di un reato e la con- nessione tra questo e l’oggetto che così occorre salvaguardare agli incom- benti dell’autorità inquirente; la misura deve inoltre essere rispettosa del principio della proporzionalità (art. 45 cpv. 1 DPA; sentenza del Tribunale penale federale BK_B 060/04 del 14 luglio 2004 consid. 2.2 e riferimenti ci- tati). Il carattere provvisorio di una misura di sequestro ha come conseguenza che quest’ultimo è la regola allorquando esiste un serio sospetto circa la commissione di un’infrazione. Nelle fasi iniziali dell’inchiesta non occorre mostrarsi troppo esigenti quanto al fondamento del sospetto: è infatti suffi- ciente che il carattere illecito dei fatti rimproverati appaia verosimile (HAURI, Verwaltungsstrafrecht, Motive - Doktrin – Rechtsprechung, Berna 1998, N.</w:t>
      </w:r>
    </w:p>
    <w:p>
      <w:r>
        <w:rPr>
          <w:b/>
        </w:rPr>
        <w:t>E. 2</w:t>
      </w:r>
    </w:p>
    <w:p>
      <w:r>
        <w:t>Nella fattispecie, gli apparecchi litigiosi sono stati sequestrati nell’ambito di un procedimento aperto per sospetta violazione della LCG, segnatamente dell’art. 56 cpv. 1 lett. c LCG, che punisce chiunque organizza o gestisce per mestiere giochi d’azzardo all’infuori di case da gioco, rispettivamente installa allo scopo di gestirli, sistemi di gioco o apparecchi automatici per giochi d’azzardo senza esame, valutazione della conformità o omologazio- ne.</w:t>
      </w:r>
    </w:p>
    <w:p>
      <w:r>
        <w:rPr>
          <w:b/>
        </w:rPr>
        <w:t>E. 2.1</w:t>
      </w:r>
    </w:p>
    <w:p>
      <w:r>
        <w:t>Le obiezioni sollevate dalla reclamante nel suo gravame e riassunte nei fat- ti (v. lett. B supra) non sono sufficienti a fugare il sospetto di una violazione alla normativa vigente. Come riferito dalla CFGC nelle sue osservazioni al gravame (e ripetuto nella duplica), gli apparecchi in oggetto, che erano stati verificati e omologati nel luglio 2004 quali apparecchi elettronici per giochi d’intrattenimento non sottoposti alla LCG, sono stati successivamente mo- dificati – senza ulteriore autorizzazione - in modo da poter attivare sugli stessi delle funzioni tipiche del gioco d’azzardo. Nel suo interrogatorio del 13 maggio 2005 presso la sede della CFCG di Bellinzona, il signor F.______ - ascoltato quale persona tenuta a fornire informazioni - ha so- stanzialmente ammesso di aver modificato il software di numerosi appa- recchi di tipo “LOGIK”, introducendo segnatamente la possibilità di raddop- piare o quadruplicare i punti vinti, senza sottoporre questa modifica al va- glio dell’autorità competente (v. act. 2.6). Il rapporto tecnico della CFCG al- legato alle osservazioni (act. 2.7) conferma che l’introduzione di queste possibilità di moltiplicazioni dei punti vinti è suscettibile di modificare so- stanzialmente la natura dell’apparecchio in questione, che da semplice gio- co di intrattenimento si trasforma così in gioco d’azzardo sottoposto alla LCG. Alla luce di quanto precede, la misura litigiosa – considerato lo stadio del procedimento, i concreti indizi di reato alla LCG rilevati nonché l’urgenza di porre fine alla situazione (potenzialmente) illegale costituita dalla presenza di apparecchi illeciti nei locali pubblici menzionati (art. 46 cpv. 2 DPA) – era ed è un provvedimento giustificato e rispettoso del principio della propor- zionalità; non vi è quindi ragione di annullarlo come chiesto dalla reclaman- te.</w:t>
      </w:r>
    </w:p>
    <w:p>
      <w:r>
        <w:rPr>
          <w:b/>
        </w:rPr>
        <w:t>E. 3</w:t>
      </w:r>
    </w:p>
    <w:p>
      <w:r>
        <w:t>Discende da quanto precede che il gravame deve essere respinto. Le spe- se processuali sono poste a carico della reclamante soccombente (art. 25 cpv. 4 DPA in combinazione con l’art. 245 PP e l’art. 156 cpv. 1 OG). In concreto viene prelevata una tassa di giustizia di fr. 1'000.--, dedotto l’importo di fr. 500.-- già versato dalla reclamante a titolo di anticipo delle spese.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