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BV.2005.18 vom 2. Mai 2005</w:t>
      </w:r>
    </w:p>
    <w:p>
      <w:r>
        <w:t>Bundesstrafgericht, 2005-05-02, DE</w:t>
      </w:r>
    </w:p>
    <w:p>
      <w:r>
        <w:rPr>
          <w:b/>
        </w:rPr>
        <w:t xml:space="preserve">Quelle: </w:t>
      </w:r>
      <w:r>
        <w:t>https://mcp.opencaselaw.ch/entscheid/bstger_BV.2005.18</w:t>
      </w:r>
    </w:p>
    <w:p>
      <w:r>
        <w:t>FR: TPF BV.2005.18 du 2 mai 2005</w:t>
      </w:r>
    </w:p>
    <w:p>
      <w:r>
        <w:t>IT: TPF BV.2005.18 del 2 maggio 2005</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w:t>
      </w:r>
    </w:p>
    <w:p>
      <w:r>
        <w:t>- 3 -</w:t>
      </w:r>
    </w:p>
    <w:p>
      <w:r>
        <w:t>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Mit Verfügung vom 19. März 2005 – gleichentags dem Beschwerdeführer ausgehändigt – (BK act. 2.4) wurden dem Beschwerdeführer Fr. 1'500.--, € 20.-- sowie 10 Jetons rot (angeblicher Wert je Jeton Fr. 50.--) beschlag- nahmt (BK act. 2.5). Während der Beschwerdeführer die Beschlagnahme der Jetons nicht rügt, womit über deren Beschlagnahme hier nicht zu ent- scheiden ist, stellt die in Frage stehende Konfiskation von Geldern un- bestrittenermassen eine Zwangsmassnahme dar. Der Beschwerdeführer ist als wirtschaftlich Berechtigter der beschlagnahmten Vermögenswerte überdies von der angefochtenen Verfügung berührt und hat ein schutzwür- diges Interesse an deren Aufhebung; er ist daher zur Beschwerde legiti- miert. Er hat gegen die Beschlagnahmeverfügung mit Eingabe vom 20. März 2005 (BK act. 1) und somit fristgerecht beim Sekretariat der Be- schwerdegegnerin – korrekterweise wäre sie an den Direktor derselben zu richten gewesen, wobei dieser formelle Fehler dem Beschwerdeführer nicht zum Nachteil gereicht – Beschwerde erhoben, welche diese ohne Berichti- gung der angefochtenen Verfügung an die Beschwerdekammer weiterge- leitet hat. Soweit die Beschwerde die beschlagnahmten Gelder betrifft, ist folglich darauf einzutreten.</w:t>
      </w:r>
    </w:p>
    <w:p>
      <w:r>
        <w:rPr>
          <w:b/>
        </w:rPr>
        <w:t>E. 1.3</w:t>
      </w:r>
    </w:p>
    <w:p>
      <w:r>
        <w:t>Anders verhält es sich hinsichtlich der Rüge betreffend die Damenuhr „Ra- do“: Dieselbe wurde nicht von der Beschwerdegegnerin beschlagnahmt und figuriert entsprechend auch nicht auf der Beschlagnahmeverfügung (BK act. 2.5). Sie soll vielmehr von der Kantonspolizei Y.______ im Zu- sammenhang mit einem kantonalen Verfahren wegen Vermögensdelikten sichergestellt worden sein (BK act. 2 S. 4 f.). Deren (allfällige) Beschlag- nahme stellt keine Zwangsmassnahme der Beschwerdegegnerin dar und kann somit nicht Gegenstand der vorliegenden Beschwerde bilden. Dem- nach wird auf die Beschwerde nicht eingetreten, soweit sie die Damenuhr „Rado“ betrifft.</w:t>
      </w:r>
    </w:p>
    <w:p>
      <w:r>
        <w:t>- 4 -</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Voraussetzung für die Beschlagnahme ist ein hinreichender, objektiv be- 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Weiter muss die Beschlagnahme wie jedes Zwangsmittel verhältnismässig sein (vgl. zum Ganzen der Entscheid der Beschwerdekammer BV.2005.1 vom 24. März 2005 E. 2).</w:t>
      </w:r>
    </w:p>
    <w:p>
      <w:r>
        <w:rPr>
          <w:b/>
        </w:rPr>
        <w:t>E. 2.2</w:t>
      </w:r>
    </w:p>
    <w:p>
      <w:r>
        <w:t>Anlässlich der Hausdurchsuchung vom 19. März 2005 wurden in der ein- gangs erwähnten Lokalität ein Würfeltisch und verschiedene Spielutensilien wie Würfel, Würfelbecher und Jetons vorgefunden und zudem ein elektro- nischer Roulette-Tisch, ein Black Jack Tisch sowie ein Glücksspielautomat „Super Micro Fruit“ beschlagnahmt (BK act. 2.3). Weiter figuriert in den Ak- ten die Aussage einer bei der Hausdurchsuchung angetroffenen Aus- kunftsperson, wonach in der besagten Lokalität um Geld – jeweils umge- wechselt in Jetons – gespielt wurde (BK act. 2.4). Da die Bar über keine Spielkonzession verfügt, besteht somit der begründete objektive Verdacht des Verstosses gegen Art. 56 Abs. 1 lit. a des Bundesgesetzes vom 18. Dezember 1998 über Glücksspiele und Spielbanken (SBG, SR 935.52), wonach mit Haft oder Busse bis zu Fr. 500'000.-- bestraft wird, wer Glücks- spiele ausserhalb einer konzessionierten Spielbank organisiert oder ge- werbsmässig betreibt.</w:t>
      </w:r>
    </w:p>
    <w:p>
      <w:r>
        <w:t>Der Beschwerdeführer wurde bei der Hausdurchsuchung im Lokal ange- troffen. Er trug Spieljetons auf sich, woraus zu schliessen ist, dass er an dem Spiel teilgenommen hat. Der in seinem Auto sichergestellte grössere Bargeldbetrag von Fr. 1'500.-- schürt vor diesem Hintergrund den Verdacht, es handle sich hierbei ebenfalls um Spielgewinn bzw. -einsatz. Dieser Ver- dacht wird verstärkt durch den Umstand, dass bei der vor der Hausdurch-</w:t>
      </w:r>
    </w:p>
    <w:p>
      <w:r>
        <w:t>- 5 -</w:t>
      </w:r>
    </w:p>
    <w:p>
      <w:r>
        <w:t>suchung durchgeführten polizeilichen Observation beobachtet werden konnte, dass verschiedene Gäste das Lokal kurzfristig verliessen und wie- der betraten, woraus gefolgert werden kann, dass die in den vor dem Lokal parkierten Autos aufgefundenen Gegenstände und Vermögenswerte einen Zusammenhang mit dem Spielbetrieb haben. Im Falle des Vorliegens einer Widerhandlung gegen die Spielbankengesetzgebung unterlägen die be- schlagnahmten Gelder somit voraussichtlich der Einziehung nach Art. 59 Ziff. 1 StGB.</w:t>
      </w:r>
    </w:p>
    <w:p>
      <w:r>
        <w:t>Die Beschlagnahme sprengt zudem den Rahmen der Verhältnismässigkeit nicht, zumal es wenig glaubhaft erscheint, dass ein beschlagnahmter Be- trag von rund Fr. 1'530.-- von einer Person mit einem mutmasslichen Spiel- einsatz von Fr. 500.-- (10 Jetons mit einem Wert von je Fr. 50.--) überaus dringend benötigt wird. Damit sind die Voraussetzungen für eine Beschlag- nahme der Gelder erfüllt, und die Beschwerde ist abzuweisen, soweit dar- auf einzutreten ist.</w:t>
      </w:r>
    </w:p>
    <w:p>
      <w:r>
        <w:rPr>
          <w:b/>
        </w:rPr>
        <w:t>E. 3</w:t>
      </w:r>
    </w:p>
    <w:p>
      <w:r>
        <w:t>Bei diesem Ausgang des Verfahrens hat der Beschwerdeführer die Kosten desselben zu tragen (Art. 245 BStP i.V.m. Art. 156 Abs. 1 OG). Es ist eine Gerichtsgebühr von Fr. 1’000.-- anzusetzen (Art. 3 des Reglements vom 11. Februar 2004 über die Gerichtsgebühren vor dem Bundesstrafgericht [SR 173.711.32]), unter Anrechnung des geleisteten Kostenvorschusses in der Höhe von Fr. 500.-- (BK act. 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