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BV.2005.13 vom 28. Juni 2005</w:t>
      </w:r>
    </w:p>
    <w:p>
      <w:r>
        <w:t>Bundesstrafgericht, 2005-06-28, DE</w:t>
      </w:r>
    </w:p>
    <w:p>
      <w:r>
        <w:rPr>
          <w:b/>
        </w:rPr>
        <w:t xml:space="preserve">Quelle: </w:t>
      </w:r>
      <w:r>
        <w:t>https://mcp.opencaselaw.ch/entscheid/bstger_BV.2005.13</w:t>
      </w:r>
    </w:p>
    <w:p>
      <w:r>
        <w:t>FR: TPF BV.2005.13 du 28 juin 2005</w:t>
      </w:r>
    </w:p>
    <w:p>
      <w:r>
        <w:t>IT: TPF BV.2005.13 del 28 giugno 2005</w:t>
      </w:r>
    </w:p>
    <w:p>
      <w:pPr>
        <w:pStyle w:val="Heading2"/>
      </w:pPr>
      <w:r>
        <w:t>Regeste</w:t>
      </w:r>
    </w:p>
    <w:p>
      <w:r>
        <w:t>Beschwerde gegen Beschlagnahme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w:t>
      </w:r>
    </w:p>
    <w:p>
      <w:r>
        <w:t>- 3 -</w:t>
      </w:r>
    </w:p>
    <w:p>
      <w:r>
        <w:t>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erhalten hat, bei der zuständigen Behörde schriftlich mit Antrag und kurzer Begrün- dung einzureichen (Art. 28 Abs. 3 VStR). Allerdings wahrt auch die recht- zeitige Einreichung der Beschwerde bei einer unzuständigen Behörde die Beschwerdefrist (Art. 28 Abs. 4 VStrR).</w:t>
      </w:r>
    </w:p>
    <w:p>
      <w:r>
        <w:rPr>
          <w:b/>
        </w:rPr>
        <w:t>E. 1.2</w:t>
      </w:r>
    </w:p>
    <w:p>
      <w:r>
        <w:t>Die in Frage stehende Beschlagnahme von Geldern stellt unbestrittener- massen eine Zwangsmassnahme dar. Der Beschwerdeführer ist als wirt- schaftlich Berechtigter der beschlagnahmten Vermögenswerte von der an- gefochtenen Verfügung berührt und hat in Bezug auf die Beschlagnahme ein schutzwürdiges Interesse an deren Aufhebung; er ist daher zur Be- schwerde legitimiert. Gemäss den Ausführungen der ESBK in der Be- schwerdeantwort reichte der Beschwerdeführer am 7. März 2005 und damit fristgerecht bei ihr Beschwerde ein (BK act. 2 S. 3), welche diese ohne Be- richtigung der angefochtenen Verfügung an die Beschwerdekammer wei- tergeleitet hat. Auf die Beschwerde ist nach dem Gesagten einzutreten.</w:t>
      </w:r>
    </w:p>
    <w:p>
      <w:r>
        <w:rPr>
          <w:b/>
        </w:rPr>
        <w:t>E. 2.1</w:t>
      </w:r>
    </w:p>
    <w:p>
      <w:r>
        <w:t>Die Beschlagnahme ist gemäss Art. 46 Abs. 1 lit. a und b VStrR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Vermögenswerte, die durch eine strafbare Handlung erlangt worden sind oder dazu bestimmt waren, eine strafbare Handlung zu veranlassen oder zu belohnen (Art. 59 Ziff. 1 StGB). Voraussetzung für die Beschlagnahme ist ein hinreichender, objektiv be- gründeter Tatverdacht gegenüber dem Inhaber des Gegenstandes bzw. Vermögenswertes oder einem Dritten. Dabei sind an die Verdachtsgründe zu Beginn der Strafuntersuchung keine hohen Anforderungen zu stellen (BGE 125 IV 222, unveröffentlichte E. 2c). Im Gegensatz zum erkennenden Sachrichter hat die Beschwerdekammer bei der Überprüfung des Tatver- dachts keine erschöpfende Abwägung der in Betracht fallenden Tat- und Rechtsfragen vorzunehmen (BGE 124 IV 313, 316 E. 4). Auch bleiben die zivilrechtlichen Verhältnisse durch die strafprozessuale Beschlagnahme</w:t>
      </w:r>
    </w:p>
    <w:p>
      <w:r>
        <w:t>- 4 -</w:t>
      </w:r>
    </w:p>
    <w:p>
      <w:r>
        <w:t>unberührt (BGE 120 IV 365, 367 E. 1c). Weiter muss die Beschlagnahme wie jedes Zwangsmittel verhältnismässig sein (vgl. zum Ganzen: Entscheid der Beschwerdekammer BV.2005.1 vom 24. März 2005 E. 2).</w:t>
      </w:r>
    </w:p>
    <w:p>
      <w:r>
        <w:rPr>
          <w:b/>
        </w:rPr>
        <w:t>E. 2.2</w:t>
      </w:r>
    </w:p>
    <w:p>
      <w:r>
        <w:t>Der Beschwerdeführer verweigerte anlässlich der Hausdurchsuchung ge- genüber dem Untersuchungsbeamten der ESBK die Aussage. In der Be- schwerde macht er geltend, dass er sich zwar im Lokal aufgehalten, aber nicht am Glücksspiel beteiligt habe. Er habe lediglich darauf gewartet, von einem Arbeitskollegen abgeholt zu werden, da er selber kein Fahrzeug ha- be. Das beschlagnahmte Geld habe er von seinem Bankkonto bezogen, was durch den beigelegten Bankauszug bestätigt werde. Auf seine weite- ren Ausführungen in der Replik ist, da diese nicht innert Frist eingereicht wurde, nicht einzugehen. Die Beschwerdegegnerin hält dem Beschwerde- führer entgegen, dass bei der Hausdurchsuchung insgesamt zehn Perso- nen angetroffen worden seien. Es sei festgestellt worden, dass im Keller des Lokals illegale Würfelspiele um Geld durchgeführt würden. Die Anwe- senheit des Beschwerdeführers im Lokal und die Aussagen der übrigen im Lokal angetroffenen Personen vermöchten den hinreichenden Anfangsver- dacht zu begründen, welcher eine Sicherstellung und Beschlagnahme des dem Beschwerdeführer zuzuordnenden Geldbetrages rechtfertige. Es sei im Laufe des Ermittlungsverfahrens zu klären, ob sich der Beschwerdefüh- rer am illegalen Glücksspiel um Geld beteiligt habe.</w:t>
      </w:r>
    </w:p>
    <w:p>
      <w:r>
        <w:rPr>
          <w:b/>
        </w:rPr>
        <w:t>E. 2.3</w:t>
      </w:r>
    </w:p>
    <w:p>
      <w:r>
        <w:t>Gegenüber dem Untersuchungsbeamten der ESBK sagte der bei der Hausdurchsuchung im besagten Lokal ab ca. 22 Uhr anwesende B.______, es seien sieben bis acht Personen am Würfelspiel beteiligt ge- wesen; dabei seien pro Spiel Einsätze von Fr. 100.-- bis 200.-- gemacht worden. Er selbst habe seit Spielbeginn ca. Fr. 1'000.-- gewonnen. Die be- nötigten Spielutensilien seien vom Betriebsinhaber zur Verfügung gestellt worden. Demnach besteht der Verdacht, dass in der Lokalität um Geld ge- spielt wurde und die beschlagnahmten Vermögenswerte Spieleinsatz bzw. -gewinn darstellen. Bei dieser Sachlage ist der Einwand des Beschwerde- führers, dass er nicht am Glücksspiel teilgenommen und nur auf eine Mit- fahrgelegenheit gewartet habe, unbehelflich. Ob es sich tatsächlich so ver- halten hat und ob die Beschlagnahme gegebenenfalls wieder aufzuheben ist, wird im Verwaltungsstrafverfahren – durch Befragung weiterer im fragli- chen Lokal angetroffener Personen – zu klären sein. Mit Bezug auf die Zu- lässigkeit der Beschlagnahme ist es im Übrigen unerheblich, ob die zu be- schlagnahmenden Mittel legal erworben worden sind oder nicht, weshalb der aufgelegte Bankkontoauszug diese nicht zu verhindern vermag.</w:t>
      </w:r>
    </w:p>
    <w:p>
      <w:r>
        <w:t>- 5 -</w:t>
      </w:r>
    </w:p>
    <w:p>
      <w:r>
        <w:rPr>
          <w:b/>
        </w:rPr>
        <w:t>E. 2.4</w:t>
      </w:r>
    </w:p>
    <w:p>
      <w:r>
        <w:t>Da die Bar über keine Spielkonzession verfügt, besteht somit der begrün- dete objektive Verdacht des Verstosses gegen Art. 56 Abs. 1 lit. a SBG, wonach mit Haft oder Busse bis zu Fr. 500'000.-- bestraft wird, wer Glücks- spiele ausserhalb einer konzessionierten Spielbank organisiert oder ge- werbsmässig betreibt. Im Falle des Vorliegens einer Widerhandlung gegen die Spielbankengesetzgebung unterlägen die beschlagnahmten Gelder somit voraussichtlich der Einziehung nach Art. 59 Ziff. 1 StGB, ungeachtet der zivilrechtlichen Eigentumsverhältnisse an den beschlagnahmten Ver- mögenswerten. Die Beschlagnahme sprengt im Übrigen schon auf Grund des relativ geringen Betrages den Rahmen der Verhältnismässigkeit nicht; der Beschwerdeführer macht jedenfalls nicht geltend, unmittelbar auf das beschlagnahmte Geld angewiesen zu sein. Damit sind die Voraussetzun- gen für eine Beschlagnahme erfüllt, und die Beschwerde ist abzuweisen.</w:t>
      </w:r>
    </w:p>
    <w:p>
      <w:r>
        <w:rPr>
          <w:b/>
        </w:rPr>
        <w:t>E. 3</w:t>
      </w:r>
    </w:p>
    <w:p>
      <w:r>
        <w:t>Bei diesem Ausgang des Verfahrens hat der Beschwerdeführer die Kosten desselben zu tragen (Art. 245 BStP i.V.m. Art. 156 Abs. 1 OG). Es ist eine Gerichtsgebühr von Fr. 1’000.-- anzusetzen (Art. 3 des Reglements vom 11. Februar 2004 über die Gerichtsgebühren vor dem Bundesstrafgericht [SR 173.711.32]), unter Anrechnung des geleisteten Kostenvorschusses in der Höhe von Fr. 500.-- (BK act. 4).</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