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BV.2004.31 vom 24. März 2005</w:t>
      </w:r>
    </w:p>
    <w:p>
      <w:r>
        <w:t>Bundesstrafgericht, 2005-03-24, DE</w:t>
      </w:r>
    </w:p>
    <w:p>
      <w:r>
        <w:rPr>
          <w:b/>
        </w:rPr>
        <w:t xml:space="preserve">Quelle: </w:t>
      </w:r>
      <w:r>
        <w:t>https://mcp.opencaselaw.ch/entscheid/bstger_BV.2004.31</w:t>
      </w:r>
    </w:p>
    <w:p>
      <w:r>
        <w:t>FR: TPF BV.2004.31 du 24 mars 2005</w:t>
      </w:r>
    </w:p>
    <w:p>
      <w:r>
        <w:t>IT: TPF BV.2004.31 del 24 marzo 2005</w:t>
      </w:r>
    </w:p>
    <w:p>
      <w:pPr>
        <w:pStyle w:val="Heading2"/>
      </w:pPr>
      <w:r>
        <w:t>Regeste</w:t>
      </w:r>
    </w:p>
    <w:p>
      <w:r>
        <w:t>Beschwerde gegen Beschlagnahme (Art. 26 i.V.m. Art. 46 VStrR)</w:t>
      </w:r>
    </w:p>
    <w:p>
      <w:pPr>
        <w:pStyle w:val="Heading2"/>
      </w:pPr>
      <w:r>
        <w:t>Erwägungen</w:t>
      </w:r>
    </w:p>
    <w:p>
      <w:r>
        <w:rPr>
          <w:b/>
        </w:rPr>
        <w:t>E. 1.1</w:t>
      </w:r>
    </w:p>
    <w:p>
      <w:r>
        <w:t>Gegen Zwangsmassnahmen im Sinne von Art. 45 ff. VStrR und damit zu- sammenhängende Amtshandlungen kann bei der Beschwerdekammer des Bundesstrafgerichts Beschwerde geführt werden (Art. 26 Abs. 1 VStrR). Ist die Beschwerde nicht gegen den Direktor oder Chef der beteiligten Verwal- tung gerichtet, ist sie bei diesem einzureichen (Art. 26 Abs. 2 lit. b VStrR). Berichtigt dieser die [angefochtene] Amtshandlung nicht, hat er die Be- schwerde mit seiner Äusserung spätestens am dritten Werktag nach ihrem Eingang an die Beschwerdekammer weiterzuleiten (Art. 26 Abs. 3 VStrR). Zur Beschwerde berechtigt ist, wer durch die angefochtene Amtshandlung berührt ist und ein schutzwürdiges Interesse an der Aufhebung oder Ände- rung hat (Art. 28 Abs. 1 VStrR). Die Beschwerde ist innert drei Tagen, nachdem der Beschwerdeführer von der Amtshandlung Kenntnis hat, bei der zuständigen Behörde schriftlich mit Antrag und kurzer Begründung ein- zureichen (Art. 28 Abs. 3 VStR).</w:t>
      </w:r>
    </w:p>
    <w:p>
      <w:r>
        <w:rPr>
          <w:b/>
        </w:rPr>
        <w:t>E. 1.2</w:t>
      </w:r>
    </w:p>
    <w:p>
      <w:r>
        <w:t>Die vorliegend in Frage stehende Beschlagnahme eines Geldspielautoma- ten ist unbestrittenermassen eine Zwangsmassnahme (vgl. statt vieler das Urteil der Anklagekammer 8G.123/2003 vom 9. Dezember 2003 E. 3). Die Beschwerdeführerin ist als Eigentümerin des Geldspielgeräts und der übri- gen beschlagnahmten Gegenstände von der Beschlagnahmeverfügung unmittelbar betroffen und hat in Bezug auf die Beschlagnahme ein schutz- würdiges Interesse an deren Aufhebung; sie ist daher zur Beschwerde legi- timiert. Die angefochtene Beschlagnahmeverfügung wurde der Beschwer- deführerin am 25. November 2004 ausgehändigt und diese hat dagegen fristgerecht beim Direktor der ESBK Beschwerde eingereicht. Derselbe hat die Beschwerde ohne Berichtigung der angefochtenen Verfügung an die Beschwerdekammer weitergeleitet. Auf die Beschwerde ist nach dem Ge- sagten einzutreten.</w:t>
      </w:r>
    </w:p>
    <w:p>
      <w:r>
        <w:rPr>
          <w:b/>
        </w:rPr>
        <w:t>E. 2</w:t>
      </w:r>
    </w:p>
    <w:p>
      <w:r>
        <w:t>Die Beschlagnahme gemäss Art. 46 Abs. 1 lit. a und b VStrR ist eine provi- sorische (konservatorische) prozessuale Massnahme zur vorläufigen Si- cherung von Gegenständen, die als Beweismittel von Bedeutung sein kön- nen bzw. von Gegenständen und anderen Vermögenswerten, die voraus- sichtlich der Einziehung unterliegen (BGE 120 IV 365, 366 E. 1c). Voraus- setzung für die Beschlagnahme ist ein hinreichender, objektiv begründeter Tatverdacht gegenüber dem Inhaber der mit Beschlag belegten Gegens- tände oder einem Dritten. Dabei sind an die Verdachtsgründe zu Beginn der Strafuntersuchung keine hohen Anforderungen zu stellen (BGE 125 IV</w:t>
      </w:r>
    </w:p>
    <w:p>
      <w:r>
        <w:t>- 4 -</w:t>
      </w:r>
    </w:p>
    <w:p>
      <w:r>
        <w:t>222, unveröffentlichte E. 2c). Im Gegensatz zum erkennenden Sachrichter hat die Beschwerdekammer bei der Überprüfung des Tatverdachts keine erschöpfende Abwägung der in Betracht fallenden Tat- und Rechtsfragen vorzunehmen (BGE 124 IV 313, 316 E. 4). Im Übrigen muss die Beschlag- nahme wie jedes Zwangsmittel verhältnismässig sein.</w:t>
      </w:r>
    </w:p>
    <w:p>
      <w:r>
        <w:rPr>
          <w:b/>
        </w:rPr>
        <w:t>E. 3.1</w:t>
      </w:r>
    </w:p>
    <w:p>
      <w:r>
        <w:t>Die Beschwerdeführerin bestreitet, dass der Automat ohne Bewilligung be- trieben worden sei. Sie erblickt im Schreiben des Bezirksamts Brugg vom 30. Juli 2004 eine Bewilligung zum Betrieb des Geldspielautomaten min- destens bis Ende August 2004, was mit Bezug auf das Erfordernis der „Kontinuität“ eine neue Ausgangslage geschaffen habe. Demgegenüber führt die Beschwerdegegnerin aus, der Automat sei trotz fehlender Bewilli- gung am 25. November 2004 in betriebsbereitem Zustand vorgefunden worden. Es bestehe daher der dringende Verdacht, dass durch den Betrieb des Automaten der Straftatbestand von Art. 56 Abs. 1 lit. a und/oder lit. c SBG erfüllt worden sei.</w:t>
      </w:r>
    </w:p>
    <w:p>
      <w:r>
        <w:rPr>
          <w:b/>
        </w:rPr>
        <w:t>E. 3.2</w:t>
      </w:r>
    </w:p>
    <w:p>
      <w:r>
        <w:t>Das erwähnte Schreiben vom 30. Juli 2004 stellt entgegen den Ausführun- gen der Beschwerdeführerin offensichtlich keine Bewilligung zum Betrieb des Geldspielautomaten dar, sondern es wurde damit vielmehr die Abräu- mung unmissverständlich angeordnet. Im Zeitpunkt der Beschlagnahme lag somit keine ausdrückliche Betriebsbewilligung vor.</w:t>
      </w:r>
    </w:p>
    <w:p>
      <w:r>
        <w:t>Ist eine Bewilligung kraft Gesetzes dahingefallen (was vorliegend im Ver- waltungsstrafverfahren und nicht im Beschwerdeverfahren zu klären ist), so braucht sie grundsätzlich nicht entzogen zu werden. Ob die Abräumeauf- forderung des Bezirksamts Brugg als Verfügung hätte ausgestaltet und mit einer Rechtsmittelbelehrung versehen werden müssen, kann hier indessen offen bleiben. Sie ist lediglich ein Vollstreckungsakt. Selbst wenn dieser mit einem (prozessualen) Mangel behaftet wäre, führte dies nicht zur Recht- mässigkeit des den Beschwerdeführern vorgeworfenen, mutmasslich straf- baren (vgl. E. 5) Verhaltens. Soweit die Beschwerdeführerin also rügt, der Bewilligungsentzug sei nie beschwerdefähig verfügt worden, ist dies im vor- liegenden Zusammenhang ohne Belang.</w:t>
      </w:r>
    </w:p>
    <w:p>
      <w:r>
        <w:rPr>
          <w:b/>
        </w:rPr>
        <w:t>E. 4.1</w:t>
      </w:r>
    </w:p>
    <w:p>
      <w:r>
        <w:t>Die Beschwerdeführerin macht geltend, dass gemäss den Übergangsbe- stimmungen zum Spielbankengesetz die Kantone während einer Über- gangsfrist von fünf Jahren, und somit bis zum 31. März 2005, in Restau-</w:t>
      </w:r>
    </w:p>
    <w:p>
      <w:r>
        <w:t>- 5 -</w:t>
      </w:r>
    </w:p>
    <w:p>
      <w:r>
        <w:t>rants und anderen Lokalen den Weiterbetrieb von (je höchstens fünf) Au- tomaten zulassen dürfen, soweit diese Geräte vor dem 1. November 1997 in Betrieb waren. Beim strittigen Geldspielautomaten handle es sich um ein solches altrechtliches Gerät, welches seit August 1997 bewilligt in Betrieb gewesen sei (BK act. 1, S. 6 und 8).</w:t>
      </w:r>
    </w:p>
    <w:p>
      <w:r>
        <w:rPr>
          <w:b/>
        </w:rPr>
        <w:t>E. 4.2</w:t>
      </w:r>
    </w:p>
    <w:p>
      <w:r>
        <w:t>Gemäss Art. 56 Abs. 1 SBG wird, wer Glücksspiele ausserhalb konzessio- nierter Spielbanken organisiert oder gewerbsmässig betreibt (lit. a) oder Spielsysteme oder Glücksspielautomaten ohne Prüfung, Konformitätsbe- wertung oder Zulassung zum Zweck des Betriebs aufstellt (lit. c), mit Haft oder mit Busse bis zu Fr. 500'000.-- bestraft. Nach der bisherigen Praxis homologierte Geschicklichkeitsautomaten, die nach der neuen Gesetzge- bung als Glücksspielautomaten gelten, dürfen dabei nur noch in Grands Casinos und Kursälen betrieben werden (Art. 60 Abs. 1 SBG). Allerdings können die Kantone während einer Übergangsfrist von fünf Jahren nach Inkrafttreten des Gesetzes (1. April 2000) in Restaurants und anderen Lo- kalen den Weiterbetrieb von je höchstens fünf Automaten nach Art. 60 Abs. 1 SBG zulassen, soweit diese vor dem 1. November 1997 in Betrieb waren (Art. 60 Abs. 2 SBG; vgl. für den Kanton Aargau § 19 Abs. 1 des Gesetzes vom 20. Juni 2000 über den Betrieb von Geschicklichkeitsspielautomaten und die Kursaalabgabe [Spielbetriebsgesetz, SpBG; SAR 958.100]); Art. 126 Abs. 1 der Verordnung vom 24. September 2004 über Glücksspiele und Spielbanken (Spielbankenverordnung, VSBG; SR 935.521) präzisiert diese Bestimmung dahingehend, dass die betreffenden Automaten nur bis zum 31. März 2005 am bisherigen Standort weiter betrieben werden dür- fen.</w:t>
      </w:r>
    </w:p>
    <w:p>
      <w:r>
        <w:t>Als Ausnahmebestimmung zu Art. 60 Abs. 1 SBG ist Art. 60 Abs. 2 SBG nach der Rechtsprechung des Bundesgerichts restriktiv auszulegen (Urteil des Bundesgerichts 2A.98/2001 vom 17. September 2001 E. 3). Schon aus dem Begriff "Weiterbetrieb" ("continuation de l'exploitation", "proseguimento dell'esercizio") ergibt sich, dass eine gewisse Kontinuität im tatsächlichen Betrieb seit dem massgebenden Stichtag (1. November 1997) bestehen muss. Entsprechend sind Geräte, die aufgrund einer klaren Zäsur während der bundesrechtlichen Übergangsfrist, aus welchen Gründen auch immer, faktisch ausser Betrieb genommen worden sind, nicht mehr zuzulassen (Urteil des Bundesgerichts 2A.163/2002 vom 3. Juni 2002 E. 3.2). Art. 60 Abs. 2 SBG gewährt in diesem Sinne keine absolute Betriebs- und Amorti- sationsgarantie. Er ermöglicht lediglich einen beschränkten Weiterbetrieb unter dem neuen Recht, soweit ein solcher tatsächlich mehr oder weniger kontinuierlich erfolgt. Sinn und Zweck dieser Bestimmung ist nicht, alle am 1. November 1997 in Betrieb stehenden Apparate an ihrem bisherigen</w:t>
      </w:r>
    </w:p>
    <w:p>
      <w:r>
        <w:t>- 6 -</w:t>
      </w:r>
    </w:p>
    <w:p>
      <w:r>
        <w:t>Standort bedingungslos bis zum Ende der Übergangsfrist in Betrieb zu be- lassen und damit die Automatenbranche generell zu schützen, stünde dies doch im Widerspruch zur Stossrichtung des Gesetzes, welches den Betrieb von Glücksspiel- bzw. unechten Geschicklichkeitsspielautomaten auf kon- zessionierte Spielbanken beschränken will (Art. 4 SBG; Botschaft zum Bundesgesetz über das Glücksspiel und über die Spielbanken vom 26. Februar 1997, BBl 1997 III S. 145 ff., 158 f.).</w:t>
      </w:r>
    </w:p>
    <w:p>
      <w:r>
        <w:t>Im Zeitpunkt der Beschlagnahme fehlte vorliegend eine Betriebsbewilligung für den strittigen Automaten (vgl. E. 3.2). Ein Betriebsunterbruch während zweier Jahre wegen eines Umbaus wird von der Beschwerdeführerin zuge- standen (BK act. 1, S. 6). Es fehlt damit offensichtlich während über zwei Jahre hinweg an einem tatsächlichen, für das Publikum zugänglichen Be- trieb des Gerätes. Dass die Beschwerdegegnerin vor diesem Hintergrund und mit Blick auf die vorstehend erwähnte Rechtsprechung einen hinrei- chenden Tatverdacht bezüglich einer Widerhandlung gegen das Spielban- kengesetz (Art. 56 Abs. 1 lit. a und/oder lit. c SBG) bejahte, ist nicht zu be- anstanden. Ob sich der Betreiber tatsächlich einer strafbaren Handlung schuldig gemacht habe, wird letztlich im Strafverfahren zu beurteilen sein (BGE 119 IV 326, 327 f. E. 7c). Insbesondere wird dort abschliessend dar- über befunden werden müssen, ob ein Weiterbetrieb im Sinne des Geset- zes vorliegt bzw. wie der Betriebsunterbruch zu würdigen ist. Der Umstand, dass sich dieses Strafverfahren nicht gegen die Beschwerdeführerin selbst, sondern gegen einen Dritten richtet, steht der Beschlagnahme des im Ei- gentum der Beschwerdeführerin stehenden Geldspielautomaten nicht ent- gegen (vgl. HAURI, Verwaltungsstrafrecht, Bern 1998, S. 115, Ziff. 3 zu Art. 47).</w:t>
      </w:r>
    </w:p>
    <w:p>
      <w:r>
        <w:rPr>
          <w:b/>
        </w:rPr>
        <w:t>E. 5.1</w:t>
      </w:r>
    </w:p>
    <w:p>
      <w:r>
        <w:t>Schliesslich wendet sich die Beschwerdeführerin im Rahmen des zweiten Schriftenwechsels gegen die Beschlagnahme des Geräts als Beweismittel zwecks Ablesens des Zählerstandes. Zudem falle der beschlagnahmte Au- tomat nicht unter diejenigen Gegenstände, welche die Sicherheit von Men- schen, die Sittlichkeit oder die öffentliche Ordnung gefährden könnten, weshalb eine Einziehung nicht zulässig sei (BK act. 9, S. 8 f.).</w:t>
      </w:r>
    </w:p>
    <w:p>
      <w:r>
        <w:rPr>
          <w:b/>
        </w:rPr>
        <w:t>E. 5.2</w:t>
      </w:r>
    </w:p>
    <w:p>
      <w:r>
        <w:t>Im vorliegenden Fall stützt sich die Beschlagnahme gemäss der angefoch- tenen Verfügung der Beschwerdegegnerin im wesentlichen auf Art. 46 VStrR, wonach Gegenstände, die als Beweismittel von Bedeutung sein können und/oder voraussichtlich der Einziehung unterliegen, mit Beschlag zu belegen sind. (BK_B 219/04, act. 1.2). Die Beschlagnahme erfolgte so-</w:t>
      </w:r>
    </w:p>
    <w:p>
      <w:r>
        <w:t>- 7 -</w:t>
      </w:r>
    </w:p>
    <w:p>
      <w:r>
        <w:t>mit auch zum Zweck der späteren Einziehung gemäss Art. 46 Abs. 1 lit. b VStrR in Verbindung mit Art. 58 StGB. Entsprechend führte sie in der Be- schwerdeantwort vom 3. Dezember 2004 denn auch aus, dass der Apparat möglicherweise der Einziehung unterliege, sollte sie [die Beschwerdegeg- nerin] im Strafverfahren zu einem Schuldspruch kommen (BK_B 219/04, act. 2, S. 2). Die Beschlagnahme zum Zweck der Einziehung ist aber bei vorhandenem Tatverdacht in jedem Fall zulässig, wenn es sich bei den zu beschlagnahmenden Gegenständen oder Vermögenswerten um die eigent- lichen Tatinstrumente oder Tatprodukte („instrumenta aut producta scele- ris“) handelt und der Deliktskonnex gegeben ist. Dass dies offensichtlich auf den beschlagnahmten Geldspielautomaten und das darin vorgefunde- ne, für ein Gewinnspiel unerlässliche „Stockgeld“ zutrifft, hat die Beschwer- deführerin zu Recht nicht bestritten. Damit kann offen bleiben, ob eine Be- schlagnahme allein gestützt auf Art. 46 Abs. 1 lit. a VStrR (Beweismittelsi- cherung) möglich wäre. Ob sodann die Voraussetzungen für die definitive Sicherungseinziehung gemäss Art. 58 Abs. 1 StGB vorliegen, ist nicht im Beschwerde-, sondern im Verwaltungsstrafverfahren zu entscheiden.</w:t>
      </w:r>
    </w:p>
    <w:p>
      <w:r>
        <w:rPr>
          <w:b/>
        </w:rPr>
        <w:t>E. 5.3</w:t>
      </w:r>
    </w:p>
    <w:p>
      <w:r>
        <w:t>Zusammenfassend kann festgehalten werden, dass die Voraussetzungen für eine Beschlagnahme im Hinblick auf eine Einziehung erfüllt sind. Der Beschwerdeführerin war im Übrigen seit Ende Juli 2004 bekannt, dass kei- ne Bewilligung für den Automaten erteilt werden kann und dieser bis Ende August 2004 hätte abgeräumt werden müssen. Deshalb erscheint die Be- schlagnahme auch nicht als unverhältnismässig. Der Umstand, dass der Geldspielautomat ohnehin Ende März 2005 entfernt werden müsste, ändert an diesem Ergebnis nichts. Ob die Voraussetzungen für die Einziehung selbst indessen tatsächlich vorliegen oder ob die beschlagnahmten Objekte (Automat, Geld) im Rahmen des Übergangsrechts als bewilligte Geräte zu gelten haben, ist – wie gesagt – nicht in diesem Verfahren zu bestimmen.</w:t>
      </w:r>
    </w:p>
    <w:p>
      <w:r>
        <w:t>Die Beschwerde ist nach dem Gesagten abzuweisen.</w:t>
      </w:r>
    </w:p>
    <w:p>
      <w:r>
        <w:rPr>
          <w:b/>
        </w:rPr>
        <w:t>E. 6</w:t>
      </w:r>
    </w:p>
    <w:p>
      <w:r>
        <w:t>Bei diesem Ausgang des Verfahrens hat die Beschwerdeführerin die Kos- ten zu tragen (Art. 25 Abs. 4 VStrR i.V.m. Art. 245 BStP und Art. 156 Abs. 1 OG). Es ist eine Gerichtsgebühr von Fr. 1’000.-- anzusetzen (Art. 3 des Reglements vom 11. Februar 2004 über die Gerichtsgebühren vor dem Bundesstrafgericht, SR 173.711.32). Diese wird der Beschwerdeführerin unter Anrechnung des geleisteten Kostenvorschusses von Fr. 500.-- aufer- legt.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