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BP.2025.35 vom 30. April 2025</w:t>
      </w:r>
    </w:p>
    <w:p>
      <w:r>
        <w:t>Bundesstrafgericht, 2025-04-30, FR</w:t>
      </w:r>
    </w:p>
    <w:p>
      <w:r>
        <w:rPr>
          <w:b/>
        </w:rPr>
        <w:t xml:space="preserve">Quelle: </w:t>
      </w:r>
      <w:r>
        <w:t>https://mcp.opencaselaw.ch/entscheid/bstger_BP.2025.35</w:t>
      </w:r>
    </w:p>
    <w:p>
      <w:r>
        <w:t>FR: TPF BP.2025.35 du 30 avril 2025</w:t>
      </w:r>
    </w:p>
    <w:p>
      <w:r>
        <w:t>IT: TPF BP.2025.35 del 30 aprile 2025</w:t>
      </w:r>
    </w:p>
    <w:p>
      <w:pPr>
        <w:pStyle w:val="Heading2"/>
      </w:pPr>
      <w:r>
        <w:t>Regeste</w:t>
      </w:r>
    </w:p>
    <w:p>
      <w:r>
        <w:t>Anonymisation accrue (art. 63 al. 2 LOAP)</w:t>
      </w:r>
    </w:p>
    <w:p>
      <w:pPr>
        <w:pStyle w:val="Heading2"/>
      </w:pPr>
      <w:r>
        <w:t>Erwägungen</w:t>
      </w:r>
    </w:p>
    <w:p>
      <w:r>
        <w:rPr>
          <w:b/>
        </w:rPr>
        <w:t>E. 12</w:t>
      </w:r>
    </w:p>
    <w:p>
      <w:r>
        <w:t>février 2024 consid. 4.1; 1B_235/2011 du 24 mai 2011 consid. 4.3; v. ég. TPF 2023 55 consid. 3.7; décisions du Tribunal pénal fédéral BP.2023.82 précité; BP.2022.25 précitée consid. 2.3);</w:t>
      </w:r>
    </w:p>
    <w:p>
      <w:r>
        <w:t>- l'anonymisation d'une décision ne doit cependant pas être de nature à la rendre illisible et incompréhensible (ATF 133 I 106 consid. 8.3; arrêts du Tribunal fédéral 1C_341/2023 précité consid. 4.1; 1C_642/2020 précité consid. 2.3; décision du Tribunal pénal fédéral BP.2022.25 précitée consid. 2.3 et les réf. citées);</w:t>
      </w:r>
    </w:p>
    <w:p>
      <w:r>
        <w:t>- il incombe aux parties qui estiment que le principe de la publicité de la justice entre en conflit avec la protection de leur personnalité et de leur sphère privée de formuler une demande formelle et motivée tendant à ce que leurs droits soient préservés (ATF 147 II 227 consid. 8.2; arrêts du Tribunal fédéral 1C_341/2023 précité consid. 4.1; 2C_791/2021 du 6 juillet 2022 consid. 9.1);</w:t>
      </w:r>
    </w:p>
    <w:p>
      <w:r>
        <w:t>- une mise en balance des intérêts publics à la transparence de la justice et des intérêts privés au secret est nécessaire (ATF 133 I 106 consid. 8.3 et 8.4; 129 III 529 consid. 3.1 et 3.2), le principe de proportionnalité se devant d'être respecté (ATF 147 I 407 consid. 6.4.2; arrêt du Tribunal fédéral 1C_642/2020 précité consid. 2.3);</w:t>
      </w:r>
    </w:p>
    <w:p>
      <w:r>
        <w:t>- en l'occurrence, Me A. requiert l’anonymisation de son identité dans la décision BH.2025.4 rendue par la Cour de céans le 22 avril 2025, en raison de son intervention limitée dans l’affaire concernant B., son mandat de défenseur d’office étant sur le point d’être révoqué, et de l’important intérêt de ladite affaire pour la presse; il ajoute en substance à ce propos que la publication de son identité ne serait pas utile à la bonne information du public et que l’anonymisation de celle-ci serait ainsi favorable tant à l’intérêt public de l’instruction que des intérêts privés du prévenu et des siens (act. 1);</w:t>
      </w:r>
    </w:p>
    <w:p>
      <w:r>
        <w:t>- n’en déplaise au requérant, il n’apparaît en l’espèce pas que la publication de son identité, en tant que mandataire du prévenu dans le cadre de la procédure de recours BH.2025.4, puisse entrer en conflit avec la protection de sa personnalité ou de celle de son mandant ainsi que de leur sphère</w:t>
      </w:r>
    </w:p>
    <w:p>
      <w:r>
        <w:t>- 5 -</w:t>
      </w:r>
    </w:p>
    <w:p>
      <w:r>
        <w:t>privée; ce qu’il ne démontre au demeurant aucunement dans l’argumentation développée à l’appui de sa requête du 24 avril 2025;</w:t>
      </w:r>
    </w:p>
    <w:p>
      <w:r>
        <w:t>- par conséquent, mal fondée, la requête tendant à l’anonymisation accrue de la décision BH.2025.4 rendue par le Tribunal pénal fédéral le 22 avril 2025 est rejetée;</w:t>
      </w:r>
    </w:p>
    <w:p>
      <w:r>
        <w:t>- en application de l'art. 390 al. 2 CPP a contrario, la Cour de céans renonce à procéder à un échange d'écritures;</w:t>
      </w:r>
    </w:p>
    <w:p>
      <w:r>
        <w:t>- conformément à l'art. 428 al. 1, 1re phr. CPP, les frais de la procédure de recours sont mis à la charge des parties dans la mesure où elles ont obtenu gain de cause ou succombé;</w:t>
      </w:r>
    </w:p>
    <w:p>
      <w:r>
        <w:t>- au vu de ce qui précède et de l'issue du litige, il incombe au requérant de supporter les frais de la présente décision, lesquels sont en l'espèce fixés à CHF 1'000.-- (v. art. 73 al. 2 et 3 LOAP; art. 5 et 8 al. 1 du règlement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