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BP.2022.19 vom 6. April 2022</w:t>
      </w:r>
    </w:p>
    <w:p>
      <w:r>
        <w:t>Bundesstrafgericht, 2022-04-06, FR</w:t>
      </w:r>
    </w:p>
    <w:p>
      <w:r>
        <w:rPr>
          <w:b/>
        </w:rPr>
        <w:t xml:space="preserve">Quelle: </w:t>
      </w:r>
      <w:r>
        <w:t>https://mcp.opencaselaw.ch/entscheid/bstger_BP.2022.19</w:t>
      </w:r>
    </w:p>
    <w:p>
      <w:r>
        <w:t>FR: TPF BP.2022.19 du 6 avril 2022</w:t>
      </w:r>
    </w:p>
    <w:p>
      <w:r>
        <w:t>IT: TPF BP.2022.19 del 6 aprile 2022</w:t>
      </w:r>
    </w:p>
    <w:p>
      <w:pPr>
        <w:pStyle w:val="Heading2"/>
      </w:pPr>
      <w:r>
        <w:t>Regeste</w:t>
      </w:r>
    </w:p>
    <w:p>
      <w:r>
        <w:t>Levée de scellés (art. 50 al. 3 DPA); mesures provisionnelles</w:t>
      </w:r>
    </w:p>
    <w:p>
      <w:pPr>
        <w:pStyle w:val="Heading2"/>
      </w:pPr>
      <w:r>
        <w:t>Erwägungen</w:t>
      </w:r>
    </w:p>
    <w:p>
      <w:r>
        <w:rPr>
          <w:b/>
        </w:rPr>
        <w:t>E. 8</w:t>
      </w:r>
    </w:p>
    <w:p>
      <w:r>
        <w:t>septembre 2014 consid. 2.1; v. également ATF 144 I 318 consid. 7.1; 143 IV 373 consid. 1.3.1);</w:t>
      </w:r>
    </w:p>
    <w:p>
      <w:r>
        <w:t>un droit d’accès au contenu des pièces sous scellés ne saurait, en principe, en tout</w:t>
      </w:r>
    </w:p>
    <w:p>
      <w:r>
        <w:t>- 4 -</w:t>
      </w:r>
    </w:p>
    <w:p>
      <w:r>
        <w:t>état de cause, pas tendre à permettre à l’ayant droit de chercher a posteriori d’éven- tuels arguments en faveur d’un autre secret ou motif à invoquer que ceux déjà sou- levés au moment de la demande de mise sous scellés (arrêt du Tribunal fédéral 1B_28/2021 du 4 novembre 2021 consid. 1 .6);</w:t>
      </w:r>
    </w:p>
    <w:p>
      <w:r>
        <w:t>cela étant, il ne peut pas non plus être fait abstraction du devoir de collaboration accru incombant à l’ayant droit, notamment en cas de saisie importante (ATF 141 IV 77 consid. 4.3 et 5.6; 138 IV 225 consid. 7.1; arrêts du Tribunal fédéral 1B_386/2021 du 6 décembre 2021 consid. 3.1; 1B_282/2021 du 23 novembre 2021 consid. 4.1; 1B_28/2021 du 4 novembre 2021 consid. 1 .3; 1B_355/2021 du 26 août 2021 consid. 2.5; 1B_394/2017 du 17 janvier 2018 consid. 6.1 non publié in ATF 144 IV 74);</w:t>
      </w:r>
    </w:p>
    <w:p>
      <w:r>
        <w:t>selon les circonstances et/ou en présence d’une motivation spécifique, l’ayant droit doit pouvoir consulter les pièces sous scellés (arrêt du Tribunal fédéral 1B_28/2021 du 4 novembre 2021 consid. 1.6), afin en particulier de pouvoir indiquer lesquelles sont protégées par le secret invoqué, ainsi que, le cas échéant, leur localisation dans les supports saisis (arrêt du Tribunal fédéral 1B_279/2021 du 4 février 2022 consid. 2.3.1);</w:t>
      </w:r>
    </w:p>
    <w:p>
      <w:r>
        <w:t>en l’espèce, la requérante demande à pouvoir consulter l’ensemble des pièces sous scellés les 23, 24 septembre et 14 octobre 2021, soit tant celles en format papier qu’informatique;</w:t>
      </w:r>
    </w:p>
    <w:p>
      <w:r>
        <w:t>s’agissant des pièces en format informatique, placées sous scellés le 24 septembre 2021 (sous cotes EGE 900-915, 917-920 et EGE 926-927, selon l’inventaire figurant à l’act. 1.10), la demande de consultation est sans objet, vu la lettre de la Cour de céans du 6 avril 2022, informant qu’il sera procédé à leur tri;</w:t>
      </w:r>
    </w:p>
    <w:p>
      <w:r>
        <w:t>cela étant, la demande aurait dû être rejetée, lesdites pièces étant des copies foren- siques des données informatiques de la requérante, lesquelles ont été laissées en sa possession, après exécution des copies, le 24 septembre 2021, de sorte qu’à compter de cette date, la requérante a été en mesure de se prononcer sur leur con- tenu;</w:t>
      </w:r>
    </w:p>
    <w:p>
      <w:r>
        <w:t>s’agissant de la consultation des documents en format papier placés sous scellés les 23 septembre et 14 octobre 2021 (sous cotes EGE 157-220 et EGE 674-702, selon l’inventaire figurant à l’act. 1.9, et sous cotes EMO 1 à 8, selon l’inventaire figurant à l’act. 1.12), ainsi que cela a déjà été rappelé en date du 13 décembre 2021 (act. 6), leur détentrice, qui en a demandé la mise sous scellés, est supposée en connaître le contenu;</w:t>
      </w:r>
    </w:p>
    <w:p>
      <w:r>
        <w:t>- 5 -</w:t>
      </w:r>
    </w:p>
    <w:p>
      <w:r>
        <w:t>la perquisition des locaux de la requérante le 23 septembre 2021 a été opérée en présence, notamment, de conseils de dite société, qui ont requis sur-le-champ la mise sous scellés de pièces (act. 1.7, p. 2 à 4 et act. 1.9, p. 6);</w:t>
      </w:r>
    </w:p>
    <w:p>
      <w:r>
        <w:t>il en est allé de même lors de celle du 14 octobre 2021 (act. 1.11, p. 2 à 4, et act. 1.12, p. 3 et 4);</w:t>
      </w:r>
    </w:p>
    <w:p>
      <w:r>
        <w:t>dans les deux cas, un inventaire des pièces placées sous scellés a été dressé par l’AFC et contresigné par la détentrice des papiers, sans réserve quant à la qualité ou la précision desdits inventaires (act. 1.9 et act 1.12);</w:t>
      </w:r>
    </w:p>
    <w:p>
      <w:r>
        <w:t>l’inventaire du 23 septembre 2021 est précis, décrivant tant l’endroit d’où les docu- ments papier ont été prélevés (numéro de bureau et nom de son occupant) que le type de contenant (classeur, dont la couleur est spécifiée; carton contenant des dos- siers suspendus; boîte archives, agenda) et/de documents qui s’y trouvent (p. ex.: rapports de révision, budgets, comptes annuels), ainsi, le cas échéant, que le nom de la personne et/ou société concernée;</w:t>
      </w:r>
    </w:p>
    <w:p>
      <w:r>
        <w:t>quand bien même ces documents papier représentent un certain volume, leur in- ventaire est suffisamment détaillé;</w:t>
      </w:r>
    </w:p>
    <w:p>
      <w:r>
        <w:t>tous les documents issus de la perquisition des locaux du 23 septembre 2021 n’ont pas été mis sous scellés, certains ayant été séquestrés (act. 1, p. 3);</w:t>
      </w:r>
    </w:p>
    <w:p>
      <w:r>
        <w:t>l’inventaire du 14 octobre 2021, qui concerne 8 pièces sous scellés, soit le contenu d’un « coffre-fort bordeaux (Fichet « B. ») » est également précis, en tant qu’il décrit le type de documents (p. ex.: organigrammes, rapport annuel, listes de salaire, ordres de virement), ainsi que le/s nom/s de/s personnes et/ou société/s concer- nées;</w:t>
      </w:r>
    </w:p>
    <w:p>
      <w:r>
        <w:t>conformément à la jurisprudence précitée, la requérante a été mise en mesure de se prononcer sur le contenu des papiers avant la perquisition et de satisfaire à son obligation de collaborer (v. arrêt du Tribunal fédéral 1B_279/2021 du 4 février 2022 consid. 2.3.2);</w:t>
      </w:r>
    </w:p>
    <w:p>
      <w:r>
        <w:t>il n’y a donc pas lieu de lui accorder, à ce stade, la consultation des documents en format papier dont elle a demandé la mise sous scellés les 23 septembre et 14 oc- tobre 2021;</w:t>
      </w:r>
    </w:p>
    <w:p>
      <w:r>
        <w:t>toutefois, les libellés des pièces sous scellés EGE 157 à 161, relatifs à des actes de procédures pénale et civile (tribunal des prud’hommes) concernant la requérante et</w:t>
      </w:r>
    </w:p>
    <w:p>
      <w:r>
        <w:t>- 6 -</w:t>
      </w:r>
    </w:p>
    <w:p>
      <w:r>
        <w:t>un de ses employés, sont suffisamment précis pour permettre en soi de rendre vrai- semblable la présence de secrets  d’avocats  protégés;</w:t>
      </w:r>
    </w:p>
    <w:p>
      <w:r>
        <w:t>il en va de même de la pièce EMO 1, au vu de la remarque figurant à l’inventaire, relative à son contenu (« Courriers d’avocats luxembourgeois et suisses concernant le dépôt de la marque C. à D., au Luxembourg, notamment »; act. 1.12, p. 2);</w:t>
      </w:r>
    </w:p>
    <w:p>
      <w:r>
        <w:t>dès lors qu’il sera procédé au tri de ces pièces EGE 157 à 161 et EMO 1, la de- mande de consultation est sans objet en ce qui les concerne;</w:t>
      </w:r>
    </w:p>
    <w:p>
      <w:r>
        <w:t>quant au délai pour prendre position, il a été prolongé, à deux reprises, de sorte qu’il n’y a, en principe, pas lieu de le prolonger, dès lors qu’il appartient à la requérante d’assumer les risques de sa stratégie procédurale;</w:t>
      </w:r>
    </w:p>
    <w:p>
      <w:r>
        <w:t>il est néanmoins prolongé une ultime fois au 25 avril 2022.</w:t>
      </w:r>
    </w:p>
    <w:p>
      <w:r>
        <w:t>- 7 -</w:t>
      </w:r>
    </w:p>
    <w:p>
      <w:r>
        <w:t>Par ces motifs, le Juge rapporteur ordonne:</w:t>
      </w:r>
    </w:p>
    <w:p>
      <w:r>
        <w:t>1. La demande de consultation de l’intégralité des supports de données électroniques placés sous scellés le 24 septembre 2021 est sans objet. 2. La demande de consultation des documents en format papier placés sous scellés les 23 septembre et 14 octobre 2021 est rejetée, exception faite des pièces enregistrées sous cotes EGE 157 à 161 et EMO 1, pour laquelle la demande de consultation est sans objet. 3. Le délai pour répondre est prolongé une dernière fois au 25 avril 2022. 4. Les frais de la procédure sont joints au fond.</w:t>
      </w:r>
    </w:p>
    <w:p>
      <w:r>
        <w:t>Bellinzone, le 6 avril 2022</w:t>
      </w:r>
    </w:p>
    <w:p>
      <w:r>
        <w:t>Au nom de la Cour des plaintes du Tribunal pénal fédéral</w:t>
      </w:r>
    </w:p>
    <w:p>
      <w:r>
        <w:t>Le juge rapporteur: la greffière:</w:t>
      </w:r>
    </w:p>
    <w:p>
      <w:r>
        <w:t>Distribution</w:t>
      </w:r>
    </w:p>
    <w:p>
      <w:r>
        <w:t>- Mes Alexandre Faltin et Xavier Oberson - Administration fédérale des contributions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