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BP.2020.2 vom 14. Januar 2020</w:t>
      </w:r>
    </w:p>
    <w:p>
      <w:r>
        <w:t>Bundesstrafgericht, 2020-01-14, FR</w:t>
      </w:r>
    </w:p>
    <w:p>
      <w:r>
        <w:rPr>
          <w:b/>
        </w:rPr>
        <w:t xml:space="preserve">Quelle: </w:t>
      </w:r>
      <w:r>
        <w:t>https://mcp.opencaselaw.ch/entscheid/bstger_BP.2020.2</w:t>
      </w:r>
    </w:p>
    <w:p>
      <w:r>
        <w:t>FR: TPF BP.2020.2 du 14 janvier 2020</w:t>
      </w:r>
    </w:p>
    <w:p>
      <w:r>
        <w:t>IT: TPF BP.2020.2 del 14 gennaio 2020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du 5 avril 2016 consid. 3 et les références citées);</w:t>
      </w:r>
    </w:p>
    <w:p>
      <w:r>
        <w:t>qu’octroyer l’effet suspensif au recours aurait pour effet de maintenir Me Mangeat défenseur d’office de A. jusqu’à droit connu dans la procédure de recours alors que le refuser reviendrait à priver avec effet immédiat A. de défenseur d’office;</w:t>
      </w:r>
    </w:p>
    <w:p>
      <w:r>
        <w:t>que si le MPC lui a désigné un défenseur d’office, c’est parce que A. se trouvait dans un cas de défense obligatoire prévu par l’art. 130 CPP;</w:t>
      </w:r>
    </w:p>
    <w:p>
      <w:r>
        <w:t>que dans un tel cas, priver A., même temporairement, de défenseur d’office, pourrait lui causer un préjudice difficilement réparable;</w:t>
      </w:r>
    </w:p>
    <w:p>
      <w:r>
        <w:t>qu’il y a par ailleurs lieu que Me Mangeat poursuive son mandat d’office, dès lors qu’il l’assume depuis bientôt six ans et connaît le dossier, jusqu’à droit connu sur le bien-fondé de la révocation de son mandat de défenseur d’office;</w:t>
      </w:r>
    </w:p>
    <w:p>
      <w:r>
        <w:t>que par conséquent, l’effet suspensif au recours est octroyé dans la procédure BB.2020.3; Me Mangeat demeure le défenseur d’office de A. jusqu’à droit connu dans la procédure BB.2020.3;</w:t>
      </w:r>
    </w:p>
    <w:p>
      <w:r>
        <w:t>que le sort des frais suivra celui de la cause au fond.</w:t>
      </w:r>
    </w:p>
    <w:p>
      <w:r>
        <w:t>- 4 -</w:t>
      </w:r>
    </w:p>
    <w:p>
      <w:r>
        <w:t>Par ces motifs, le juge rapporteur ordonne:</w:t>
      </w:r>
    </w:p>
    <w:p>
      <w:r>
        <w:t>1. La demande d’effet suspensif dans la procédure BB.2020.3 est accordée. 2. Le sort des frais suivra celui de la cause au fond.</w:t>
      </w:r>
    </w:p>
    <w:p>
      <w:r>
        <w:t>Bellinzone, le 14 janvier 2020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Grégoire Mangeat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