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BP.2020.1 vom 2. Januar 2020</w:t>
      </w:r>
    </w:p>
    <w:p>
      <w:r>
        <w:t>Bundesstrafgericht, 2020-01-02, DE</w:t>
      </w:r>
    </w:p>
    <w:p>
      <w:r>
        <w:rPr>
          <w:b/>
        </w:rPr>
        <w:t xml:space="preserve">Quelle: </w:t>
      </w:r>
      <w:r>
        <w:t>https://mcp.opencaselaw.ch/entscheid/bstger_BP.2020.1</w:t>
      </w:r>
    </w:p>
    <w:p>
      <w:r>
        <w:t>FR: TPF BP.2020.1 du 2 janvier 2020</w:t>
      </w:r>
    </w:p>
    <w:p>
      <w:r>
        <w:t>IT: TPF BP.2020.1 del 2 gennaio 2020</w:t>
      </w:r>
    </w:p>
    <w:p>
      <w:pPr>
        <w:pStyle w:val="Heading2"/>
      </w:pPr>
      <w:r>
        <w:t>Regeste</w:t>
      </w:r>
    </w:p>
    <w:p>
      <w:r>
        <w:t>Aufschiebende Wirkung (Art. 387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Erteilung der aufschiebenden Wirkung wird abgewiesen, so- weit darauf eingetreten wird.</w:t>
      </w:r>
    </w:p>
    <w:p>
      <w:r>
        <w:rPr>
          <w:b/>
        </w:rPr>
        <w:t>E. 2</w:t>
      </w:r>
    </w:p>
    <w:p>
      <w:r>
        <w:t>Die Kosten der vorliegenden Verfügung verbleiben bei der Hauptsache.</w:t>
      </w:r>
    </w:p>
    <w:p>
      <w:r>
        <w:t>Bellinzona, 2. Januar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André Kuhn - Oberstaatsanwaltschaft des Kantons Zürich - Kantonales Untersuchungsamt - Staatsanwaltschaft Limmattal / Albis</w:t>
      </w:r>
    </w:p>
    <w:p>
      <w:r>
        <w:t>Rechtsmittelbelehrung Gegen diese Verfügung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