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BP.2019.59 vom 31. Juli 2019</w:t>
      </w:r>
    </w:p>
    <w:p>
      <w:r>
        <w:t>Bundesstrafgericht, 2019-07-31, FR</w:t>
      </w:r>
    </w:p>
    <w:p>
      <w:r>
        <w:rPr>
          <w:b/>
        </w:rPr>
        <w:t xml:space="preserve">Quelle: </w:t>
      </w:r>
      <w:r>
        <w:t>https://mcp.opencaselaw.ch/entscheid/bstger_BP.2019.59</w:t>
      </w:r>
    </w:p>
    <w:p>
      <w:r>
        <w:t>FR: TPF BP.2019.59 du 31 juillet 2019</w:t>
      </w:r>
    </w:p>
    <w:p>
      <w:r>
        <w:t>IT: TPF BP.2019.59 del 31 luglio 2019</w:t>
      </w:r>
    </w:p>
    <w:p>
      <w:pPr>
        <w:pStyle w:val="Heading2"/>
      </w:pPr>
      <w:r>
        <w:t>Regeste</w:t>
      </w:r>
    </w:p>
    <w:p>
      <w:r>
        <w:t>Levée des scellés (art. 50 al. 3 DPA).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mars 2018 consid. 4.14);</w:t>
      </w:r>
    </w:p>
    <w:p>
      <w:r>
        <w:t>les perquisitions opérées chez A. SA et dans les locaux loués par elle les 8 mai, 6 juin et 27 juin 2019 ont été opérées en présence notamment de conseils de A. SA (cf. act. 1.4, p. 2; act. 1.7, p. 2; act. 1.10, p. 2);</w:t>
      </w:r>
    </w:p>
    <w:p>
      <w:r>
        <w:t>des inventaires précis ont été réalisés par l’AFC et contresignés par les détenteurs des papiers, sans réserve quant à la qualité ou la précision desdits inventaires (act. 1.5; act. 1.8; act. 1.11);</w:t>
      </w:r>
    </w:p>
    <w:p>
      <w:r>
        <w:t>des papiers dépourvus de pertinence pour la période de l’enquête ont été laissés à disposition de leurs détenteurs (cf. act. 1.5, p. 9, 10, 12, 16, 17, 18);</w:t>
      </w:r>
    </w:p>
    <w:p>
      <w:r>
        <w:t>il apparaît donc clairement que conformément à la jurisprudence précitée, A SA a été mise en mesure de se prononcer sur le contenu des papiers avant la perquisition et de satisfaire à son obligation de collaborer;</w:t>
      </w:r>
    </w:p>
    <w:p>
      <w:r>
        <w:t>il n’y a donc pas lieu de lui accorder à ce stade la prolongation du délai pour prendre position ainsi que la consultation des papiers dont elle a demandé la mise sous scellés;</w:t>
      </w:r>
    </w:p>
    <w:p>
      <w:r>
        <w:t>par conséquent, il n’y a pas lieu en principe de prolonger une nouvelle fois le délai pour présenter des observations dans la procédure en cours, qui échoit au 9 août, ce d’autant plus qu’il appartient à A. SA d’assumer les risques de sa stratégie procédurale;</w:t>
      </w:r>
    </w:p>
    <w:p>
      <w:r>
        <w:t>néanmoins, le délai est prolongé une ultime fois au 15 août 2019.</w:t>
      </w:r>
    </w:p>
    <w:p>
      <w:r>
        <w:t>- 4 -</w:t>
      </w:r>
    </w:p>
    <w:p>
      <w:r>
        <w:t>Par ces motifs, le juge rapporteur ordonne:</w:t>
      </w:r>
    </w:p>
    <w:p>
      <w:r>
        <w:t>1. La demande de consultation de l’intégralité des papiers sous scellés est rejetée.</w:t>
      </w:r>
    </w:p>
    <w:p>
      <w:r>
        <w:t>2. Le délai pour répondre à la requête de levée de scellés est prolongé une dernière fois au 15 août 2019.</w:t>
      </w:r>
    </w:p>
    <w:p>
      <w:r>
        <w:t>3. Les frais de la présente procédure sont joints au fond.</w:t>
      </w:r>
    </w:p>
    <w:p>
      <w:r>
        <w:t>Bellinzone, le 31 juillet 2019</w:t>
      </w:r>
    </w:p>
    <w:p>
      <w:r>
        <w:t>Au nom de la Cour des plaintes du Tribunal pénal fédéral</w:t>
      </w:r>
    </w:p>
    <w:p>
      <w:r>
        <w:t>Le juge rapporteur: Le greffier:</w:t>
      </w:r>
    </w:p>
    <w:p>
      <w:r>
        <w:t>Distribution</w:t>
      </w:r>
    </w:p>
    <w:p>
      <w:r>
        <w:t>- Administration fédérale des contributions Mes Christian Girod et Jean-Frédéric Maraia, avocats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