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BP.2019.56 vom 25. Juli 2019</w:t>
      </w:r>
    </w:p>
    <w:p>
      <w:r>
        <w:t>Bundesstrafgericht, 2019-07-25, FR</w:t>
      </w:r>
    </w:p>
    <w:p>
      <w:r>
        <w:rPr>
          <w:b/>
        </w:rPr>
        <w:t xml:space="preserve">Quelle: </w:t>
      </w:r>
      <w:r>
        <w:t>https://mcp.opencaselaw.ch/entscheid/bstger_BP.2019.56</w:t>
      </w:r>
    </w:p>
    <w:p>
      <w:r>
        <w:t>FR: TPF BP.2019.56 du 25 juillet 2019</w:t>
      </w:r>
    </w:p>
    <w:p>
      <w:r>
        <w:t>IT: TPF BP.2019.56 del 25 luglio 2019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d’effet suspensif est rejetée.</w:t>
      </w:r>
    </w:p>
    <w:p>
      <w:r>
        <w:rPr>
          <w:b/>
        </w:rPr>
        <w:t>E. 2</w:t>
      </w:r>
    </w:p>
    <w:p>
      <w:r>
        <w:t>Un délai au 5 août 2019 est octroyé à A. pour répliquer.</w:t>
      </w:r>
    </w:p>
    <w:p>
      <w:r>
        <w:rPr>
          <w:b/>
        </w:rPr>
        <w:t>E. 3</w:t>
      </w:r>
    </w:p>
    <w:p>
      <w:r>
        <w:t>Les frais de la présente ordonnance seront fixés avec ceux de la procédure au fond.</w:t>
      </w:r>
    </w:p>
    <w:p>
      <w:r>
        <w:t>Bellinzone, le 25 juillet 2019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Mes Helmut Schwärzler et Alexander Schwartz, avocats - Ministère public de la Confédération - Me Isabelle Romy, avocate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