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BP.2019.42 vom 21. August 2019</w:t>
      </w:r>
    </w:p>
    <w:p>
      <w:r>
        <w:t>Bundesstrafgericht, 2019-08-21, FR</w:t>
      </w:r>
    </w:p>
    <w:p>
      <w:r>
        <w:rPr>
          <w:b/>
        </w:rPr>
        <w:t xml:space="preserve">Quelle: </w:t>
      </w:r>
      <w:r>
        <w:t>https://mcp.opencaselaw.ch/entscheid/bstger_BP.2019.42</w:t>
      </w:r>
    </w:p>
    <w:p>
      <w:r>
        <w:t>FR: TPF BP.2019.42 du 21 août 2019</w:t>
      </w:r>
    </w:p>
    <w:p>
      <w:r>
        <w:t>IT: TPF BP.2019.42 del 21 agosto 2019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Volltext</w:t>
      </w:r>
    </w:p>
    <w:p>
      <w:r>
        <w:t>Ordonnance présidentielle du 21 août 2019 Cour des plaintes Composition</w:t>
      </w:r>
    </w:p>
    <w:p>
      <w:r>
        <w:t>Le juge pénal fédéral Giorgio Bomio-Giovanascini, président, la greffière Julienne Borel</w:t>
      </w:r>
    </w:p>
    <w:p>
      <w:r>
        <w:t>Parties</w:t>
      </w:r>
    </w:p>
    <w:p>
      <w:r>
        <w:t>A., représenté par Mes Christophe Emonet et Pierre de Preux,</w:t>
      </w:r>
    </w:p>
    <w:p>
      <w:r>
        <w:t>B., représentée par Me Jean-Marie Crettaz, requérants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Effet suspensif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Numéros de dossiers: BP.2019.42-43, BP.2019.50-51 (Procédures principales: BB.2019.101-102, BB.2019.114-115)</w:t>
      </w:r>
    </w:p>
    <w:p>
      <w:r>
        <w:t>- 2 -</w:t>
      </w:r>
    </w:p>
    <w:p>
      <w:r>
        <w:t>Le président, vu:</w:t>
      </w:r>
    </w:p>
    <w:p>
      <w:r>
        <w:t>- la procédure pénale ouverte en 2012 par le Ministère public de la Confédération (ci-après: MPC) contre les époux A. et B. pour soupçons de blanchiment d’argent, gestion déloyale, gestion déloyale des intérêts publics et abus de confiance, respectivement pour soupçons de blanchiment d’argent,</w:t>
      </w:r>
    </w:p>
    <w:p>
      <w:r>
        <w:t>- l’écrit du 24 avril 2019, par lequel le MPC a informé les prénommés de ce que Monsieur C. assumait dès ce jour la codirection de la procédure en qualité de Procureur fédéral extraordinaire,</w:t>
      </w:r>
    </w:p>
    <w:p>
      <w:r>
        <w:t>- le courrier du 1er mai 2019, adressé par A. et B. au MPC, dans lequel ceux-ci ont estimé que la nomination de C. devait être annulée et constituait vraisemblablement un motif de récusation,</w:t>
      </w:r>
    </w:p>
    <w:p>
      <w:r>
        <w:t>- le recours, assorti d’une demande d’octroi de l’effet suspensif, interjeté le 6 mai 2019 par les époux A. et B. auprès de la Cour de céans, par lequel les intéressés ont conclu en substance à ce que l’écrit du 24 avril 2019 précité soit annulé et à ce qu’il leur soit donné acte de ce qu’ils se réservent de solliciter l’annulation des actes accomplis par le magistrat en question, à partir d’une date que la procédure devra déterminer,</w:t>
      </w:r>
    </w:p>
    <w:p>
      <w:r>
        <w:t>- l’ouverture par la Cour de céans de dossiers sous numéros BB.2019.101-102 (cause principale) et BP.2019.42-43 (effet suspensif),</w:t>
      </w:r>
    </w:p>
    <w:p>
      <w:r>
        <w:t>- l’écrit du 13 mai 2019, par lequel le MPC a renseigné brièvement les recourants sur les motifs ayant conduit à la nomination de C. en tant que Procureur fédéral extraordinaire et confirmé celle-ci,</w:t>
      </w:r>
    </w:p>
    <w:p>
      <w:r>
        <w:t>- le recours, assorti d’une demande d’octroi de l’effet suspensif, interjeté le 27 mai 2019 par les époux A. et B. auprès de la Cour de céans contre les écrits des 23 (recte: 24) avril et 13 mai 2019, par lequel les intéressés prennent les mêmes conclusions que dans leur recours du 6 mai 2019, en y ajoutant une demande de jonctions des causes,</w:t>
      </w:r>
    </w:p>
    <w:p>
      <w:r>
        <w:t>- l’ouverture par la Cour de céans de dossiers sous numéros BB.2019.114-115 (cause principale) et BP.2019.50-51 (effet suspensif),</w:t>
      </w:r>
    </w:p>
    <w:p>
      <w:r>
        <w:t>- 3 -</w:t>
      </w:r>
    </w:p>
    <w:p>
      <w:r>
        <w:t>et considérant:</w:t>
      </w:r>
    </w:p>
    <w:p>
      <w:r>
        <w:t>que les décisions du MPC peuvent faire l'objet d'un recours devant la Cour de céans (art. 393 al. 1 let. a CPP et 37 al. 1 de la loi fédérale du 19 mars 2010 sur l'organisation des autorités pénales de la Confédération [LOAP; RS 173.71]);</w:t>
      </w:r>
    </w:p>
    <w:p>
      <w:r>
        <w:t>que si des raisons objectives le justifient, le ministère public et les tribunaux peuvent ordonner la jonction ou la disjonction de procédures pénales (art. 30 CPP); qu’en l'occurrence, les demandes d’octroi de l’effet suspensif concernent les mêmes parties – représentées par les mêmes avocats –, portent sur le même complexe de faits et comportent des griefs et conclusions identiques; que, par économie de procédure, il se justifie de joindre les causes BP.2019.42-43 et BP.2019.50-51; que selon l'art. 387 CPP, les recours n'ont pas d'effet suspensif sauf si la direction de la procédure de l'autorité de recours en décide autrement (arrêt du Tribunal fédéral 1B_258/2011 du 24 mai 2011, consid. 2.3); qu’en application de l’art. 390 al. 2 CPP, l’autorité de recours peut surseoir à procéder à un échange d’écritures lorsque le recours est manifestement irrecevable ou mal fondé; qu’un tel procédé peut, a fortiori, être également appliqué dans le cadre d’une requête visant à l’obtention de l’effet suspensif; qu’il y a lieu en l’occurrence de renoncer à un échange d’écritures dans ce contexte, la requête étant manifestement mal fondée; que l’octroi de l'effet suspensif vise à maintenir un état qui garantit l'efficacité de la décision ultérieure, quel que soit son contenu; qu’il appartient au requérant de démontrer qu'il est sur le point de subir un préjudice important et – sinon irréparable – à tout le moins difficilement réparable (cf. notamment décision du Tribunal pénal fédéral BB.2015.120+132/BB.2016.6-7 du 5 avril 2016 consid. 3 et les références citées); qu’en l’espèce, si la nomination de C., respectivement la récusation de celui-ci, devait être admise, les actes effectués par ce magistrat devraient en principe être répétés;</w:t>
      </w:r>
    </w:p>
    <w:p>
      <w:r>
        <w:t>qu’on ne voit pas en quoi cela causerait un préjudice difficilement réparable aux requérants et que les intéressés ne le précisent pas;</w:t>
      </w:r>
    </w:p>
    <w:p>
      <w:r>
        <w:t>- 4 -</w:t>
      </w:r>
    </w:p>
    <w:p>
      <w:r>
        <w:t>que les requêtes d’octroi de l’effet suspensif sont rejetées;</w:t>
      </w:r>
    </w:p>
    <w:p>
      <w:r>
        <w:t>que le sort des frais suivra celui de la cause au fond;</w:t>
      </w:r>
    </w:p>
    <w:p>
      <w:r>
        <w:t>- 5 -</w:t>
      </w:r>
    </w:p>
    <w:p>
      <w:r>
        <w:t>prononce:</w:t>
      </w:r>
    </w:p>
    <w:p>
      <w:r>
        <w:t>1. Les causes BP.2019.42-43 et BP.2019.50-51 sont jointes.</w:t>
      </w:r>
    </w:p>
    <w:p>
      <w:r>
        <w:t>2. Les requêtes d’octroi de l’effet suspensif sont rejetées.</w:t>
      </w:r>
    </w:p>
    <w:p>
      <w:r>
        <w:t>3. Le sort des frais suivra celui de la cause au fond.</w:t>
      </w:r>
    </w:p>
    <w:p>
      <w:r>
        <w:t>Bellinzone, le 21 août 2019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Christophe Emonet, avocat - Me Jean-Marie Crettaz, avocat - Ministère public de la Confédération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