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BP.2019.10 vom 29. Januar 2019</w:t>
      </w:r>
    </w:p>
    <w:p>
      <w:r>
        <w:t>Bundesstrafgericht, 2019-01-29, FR</w:t>
      </w:r>
    </w:p>
    <w:p>
      <w:r>
        <w:rPr>
          <w:b/>
        </w:rPr>
        <w:t xml:space="preserve">Quelle: </w:t>
      </w:r>
      <w:r>
        <w:t>https://mcp.opencaselaw.ch/entscheid/bstger_BP.2019.10</w:t>
      </w:r>
    </w:p>
    <w:p>
      <w:r>
        <w:t>FR: TPF BP.2019.10 du 29 janvier 2019</w:t>
      </w:r>
    </w:p>
    <w:p>
      <w:r>
        <w:t>IT: TPF BP.2019.10 del 29 gennaio 2019</w:t>
      </w:r>
    </w:p>
    <w:p>
      <w:pPr>
        <w:pStyle w:val="Heading2"/>
      </w:pPr>
      <w:r>
        <w:t>Regeste</w:t>
      </w:r>
    </w:p>
    <w:p>
      <w:r>
        <w:t>Effet suspensif (art. 387 CPP).</w:t>
      </w:r>
    </w:p>
    <w:p>
      <w:pPr>
        <w:pStyle w:val="Heading2"/>
      </w:pPr>
      <w:r>
        <w:t>Erwägungen</w:t>
      </w:r>
    </w:p>
    <w:p>
      <w:r>
        <w:rPr>
          <w:b/>
        </w:rPr>
        <w:t>E. 23</w:t>
      </w:r>
    </w:p>
    <w:p>
      <w:r>
        <w:t>des 10 février et 11 juin 2010; JdT 2008 IV 66, no 312 p. 161; KOLLY, Le pourvoi en nullité à la Cour de cassation pénale du Tribunal fédéral: un aperçu de la pratique, Berne 2004, p. 58 s. no 5.3.6; CORBOZ, in Commentaire de la LTF, Corboz/Wurzbur- ger/Ferrari/Frésard/ Aubry Girardin [édit.], 2e éd. 2014., nos 26 et 28 ad art. 103; DON- ZALLAZ, Loi sur le Tribunal fédéral - Commentaire, 2008, no 4166);</w:t>
      </w:r>
    </w:p>
    <w:p>
      <w:r>
        <w:t>à cet égard, le requérant fait valoir que le MPC indique notamment avoir l’intention de ne pas lui notifier certaines décisions du fait du « retrait partiel » de sa qualité de partie plaignante;</w:t>
      </w:r>
    </w:p>
    <w:p>
      <w:r>
        <w:t>il en conclut que ses droits procéduraux s’en verraient limités, notamment dans la mesure où il ne pourrait recourir contre dites décisions et que le préjudice ne serait réparable qu’avec l’annulation ultérieures d’actes procéduraux;</w:t>
      </w:r>
    </w:p>
    <w:p>
      <w:r>
        <w:t>le requérant ne précise cependant pas en quoi le préjudice qu’il invoque serait immé- diat;</w:t>
      </w:r>
    </w:p>
    <w:p>
      <w:r>
        <w:t>ses allégations s’apparentent plus à des conjectures dans la mesure où on ignore à quelle décision spécifique il se réfère;</w:t>
      </w:r>
    </w:p>
    <w:p>
      <w:r>
        <w:t>à ce titre, il faut admettre qu’il a échoué à démontrer quel serait en l’espèce le préju- dice immédiat et irréparable dont il pourrait souffrir en cas de refus de l’effet suspensif;</w:t>
      </w:r>
    </w:p>
    <w:p>
      <w:r>
        <w:t>partant, sa requête est rejetée;</w:t>
      </w:r>
    </w:p>
    <w:p>
      <w:r>
        <w:t>les frais de la présente ordonnance, y compris les indemnités à verser aux défenseurs d’office, seront fixés avec ceux de la procédure au fond.</w:t>
      </w:r>
    </w:p>
    <w:p>
      <w:r>
        <w:t>- 4 -</w:t>
      </w:r>
    </w:p>
    <w:p>
      <w:r>
        <w:t>Ordonne:</w:t>
      </w:r>
    </w:p>
    <w:p>
      <w:r>
        <w:t>1. La demande d’effet suspensif est rejetée. 2. Les frais de la présente ordonnance, y compris les indemnités à verser aux défenseurs d’office, seront fixés avec ceux de la procédure au fond.</w:t>
      </w:r>
    </w:p>
    <w:p>
      <w:r>
        <w:t>Bellinzone, le 30 janvier 2019</w:t>
      </w:r>
    </w:p>
    <w:p>
      <w:r>
        <w:t>Au nom de la Cour des plaintes du Tribunal pénal fédéral</w:t>
      </w:r>
    </w:p>
    <w:p>
      <w:r>
        <w:t>Le Président: La greffière:</w:t>
      </w:r>
    </w:p>
    <w:p>
      <w:r>
        <w:t>Distribution, avec copie des observations</w:t>
      </w:r>
    </w:p>
    <w:p>
      <w:r>
        <w:t>- Me Raphaël Jakob - Me Dimitri Gianoli - Ministère public de la Confédération</w:t>
      </w:r>
    </w:p>
    <w:p>
      <w:r>
        <w:t>Indication des voies de recours Cette ordonnance n’est pas sujette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