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BP.2018.72 vom 19. Dezember 2018</w:t>
      </w:r>
    </w:p>
    <w:p>
      <w:r>
        <w:t>Bundesstrafgericht, 2018-12-19, FR</w:t>
      </w:r>
    </w:p>
    <w:p>
      <w:r>
        <w:rPr>
          <w:b/>
        </w:rPr>
        <w:t xml:space="preserve">Quelle: </w:t>
      </w:r>
      <w:r>
        <w:t>https://mcp.opencaselaw.ch/entscheid/bstger_BP.2018.72</w:t>
      </w:r>
    </w:p>
    <w:p>
      <w:r>
        <w:t>FR: TPF BP.2018.72 du 19 décembre 2018</w:t>
      </w:r>
    </w:p>
    <w:p>
      <w:r>
        <w:t>IT: TPF BP.2018.72 del 19 dicembre 2018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causes BP.2018.72, BP.2018.73 et BP.2018.74 sont jointes.</w:t>
      </w:r>
    </w:p>
    <w:p>
      <w:r>
        <w:rPr>
          <w:b/>
        </w:rPr>
        <w:t>E. 2</w:t>
      </w:r>
    </w:p>
    <w:p>
      <w:r>
        <w:t>Les requêtes d’effet suspensif aux recours sont admises.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19 décembre 2018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Grégoire Mangeat, avocat - Ministère public de la Confédération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