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BP.2016.24 vom 19. April 2016</w:t>
      </w:r>
    </w:p>
    <w:p>
      <w:r>
        <w:t>Bundesstrafgericht, 2016-04-19, DE</w:t>
      </w:r>
    </w:p>
    <w:p>
      <w:r>
        <w:rPr>
          <w:b/>
        </w:rPr>
        <w:t xml:space="preserve">Quelle: </w:t>
      </w:r>
      <w:r>
        <w:t>https://mcp.opencaselaw.ch/entscheid/bstger_BP.2016.24</w:t>
      </w:r>
    </w:p>
    <w:p>
      <w:r>
        <w:t>FR: TPF BP.2016.24 du 19 avril 2016</w:t>
      </w:r>
    </w:p>
    <w:p>
      <w:r>
        <w:t>IT: TPF BP.2016.24 del 19 aprile 2016</w:t>
      </w:r>
    </w:p>
    <w:p>
      <w:pPr>
        <w:pStyle w:val="Heading2"/>
      </w:pPr>
      <w:r>
        <w:t>Regeste</w:t>
      </w:r>
    </w:p>
    <w:p>
      <w:r>
        <w:t>Aufschiebende Wirkung (Art. 387 StPO).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Juli 2014, E. 3.2);</w:t>
      </w:r>
    </w:p>
    <w:p>
      <w:r>
        <w:t>- das Gesuch nach dem Gesagten abzuweisen ist;</w:t>
      </w:r>
    </w:p>
    <w:p>
      <w:r>
        <w:t>- die Kosten dieser Verfügung bei der Hauptsache verbleiben;</w:t>
      </w:r>
    </w:p>
    <w:p>
      <w:r>
        <w:t>und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