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BP.2014.74 vom 12. Dezember 2014</w:t>
      </w:r>
    </w:p>
    <w:p>
      <w:r>
        <w:t>Bundesstrafgericht, 2014-12-12, FR</w:t>
      </w:r>
    </w:p>
    <w:p>
      <w:r>
        <w:rPr>
          <w:b/>
        </w:rPr>
        <w:t xml:space="preserve">Quelle: </w:t>
      </w:r>
      <w:r>
        <w:t>https://mcp.opencaselaw.ch/entscheid/bstger_BP.2014.74</w:t>
      </w:r>
    </w:p>
    <w:p>
      <w:r>
        <w:t>FR: TPF BP.2014.74 du 12 décembre 2014</w:t>
      </w:r>
    </w:p>
    <w:p>
      <w:r>
        <w:t>IT: TPF BP.2014.74 del 12 dicembre 2014</w:t>
      </w:r>
    </w:p>
    <w:p>
      <w:pPr>
        <w:pStyle w:val="Heading2"/>
      </w:pPr>
      <w:r>
        <w:t>Regeste</w:t>
      </w:r>
    </w:p>
    <w:p>
      <w:r>
        <w:t>Mesures provisionnelles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d'effet suspensif assortissant la plainte du 4 décembre 2014 est admise en ce sens qu'il est fait interdiction à l'Administration fédérale des contributions, jusqu'à ce que la Cour de céans ait statué au fond sur ladite plainte, de procéder au tri et à l'extraction des données informatiques saisies.</w:t>
      </w:r>
    </w:p>
    <w:p>
      <w:r>
        <w:rPr>
          <w:b/>
        </w:rPr>
        <w:t>E. 2</w:t>
      </w:r>
    </w:p>
    <w:p>
      <w:r>
        <w:t>Les frais de la présente ordonnance seront réglés conjointement avec ceux de la décision au fond.</w:t>
      </w:r>
    </w:p>
    <w:p>
      <w:r>
        <w:t>Bellinzone, le 12 décembre 2014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 (anticipé par fax)</w:t>
      </w:r>
    </w:p>
    <w:p>
      <w:r>
        <w:t>- Me Alexandre Faltin - Administration fédérale des contributions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