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BP.2013.80 vom 8. Januar 2014</w:t>
      </w:r>
    </w:p>
    <w:p>
      <w:r>
        <w:t>Bundesstrafgericht, 2014-01-08, FR</w:t>
      </w:r>
    </w:p>
    <w:p>
      <w:r>
        <w:rPr>
          <w:b/>
        </w:rPr>
        <w:t xml:space="preserve">Quelle: </w:t>
      </w:r>
      <w:r>
        <w:t>https://mcp.opencaselaw.ch/entscheid/bstger_BP.2013.80</w:t>
      </w:r>
    </w:p>
    <w:p>
      <w:r>
        <w:t>FR: TPF BP.2013.80 du 8 janvier 2014</w:t>
      </w:r>
    </w:p>
    <w:p>
      <w:r>
        <w:t>IT: TPF BP.2013.80 del 8 gennaio 2014</w:t>
      </w:r>
    </w:p>
    <w:p>
      <w:pPr>
        <w:pStyle w:val="Heading2"/>
      </w:pPr>
      <w:r>
        <w:t>Regeste</w:t>
      </w:r>
    </w:p>
    <w:p>
      <w:r>
        <w:t>Effet suspensif (ar.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d'effet suspensif est sans objet dans la mesure où elle concerne les actes d'instruction auxquels les parties plaignantes auraient le droit de participer.</w:t>
      </w:r>
    </w:p>
    <w:p>
      <w:r>
        <w:rPr>
          <w:b/>
        </w:rPr>
        <w:t>E. 2</w:t>
      </w:r>
    </w:p>
    <w:p>
      <w:r>
        <w:t>La requête d'effet suspensif est rejetée dans la mesure où elle concerne les actes d'instruction auxquels les parties plaignantes n'auraient pas le droit de participer.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9 janvier 2014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Philippe Prost, avocat - Ministère public de la Confédération - Mes Paul Gully-Hart et Benjamin Borsodi, avocats</w:t>
      </w:r>
    </w:p>
    <w:p>
      <w:r>
        <w:t>Indication des voies de recours Cette ordonnance n'est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