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BP.2013.48 vom 18. Juni 2013</w:t>
      </w:r>
    </w:p>
    <w:p>
      <w:r>
        <w:t>Bundesstrafgericht, 2013-06-18, FR</w:t>
      </w:r>
    </w:p>
    <w:p>
      <w:r>
        <w:rPr>
          <w:b/>
        </w:rPr>
        <w:t xml:space="preserve">Quelle: </w:t>
      </w:r>
      <w:r>
        <w:t>https://mcp.opencaselaw.ch/entscheid/bstger_BP.2013.48</w:t>
      </w:r>
    </w:p>
    <w:p>
      <w:r>
        <w:t>FR: TPF BP.2013.48 du 18 juin 2013</w:t>
      </w:r>
    </w:p>
    <w:p>
      <w:r>
        <w:t>IT: TPF BP.2013.48 del 18 giugno 2013</w:t>
      </w:r>
    </w:p>
    <w:p>
      <w:pPr>
        <w:pStyle w:val="Heading2"/>
      </w:pPr>
      <w:r>
        <w:t>Regeste</w:t>
      </w:r>
    </w:p>
    <w:p>
      <w:r>
        <w:t>Mesures provisionnelles (art. 388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de suspension est rejetée.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rPr>
          <w:b/>
        </w:rPr>
        <w:t>E. 3</w:t>
      </w:r>
    </w:p>
    <w:p>
      <w:r>
        <w:t>Il n'est pas alloué d'indemnité.</w:t>
      </w:r>
    </w:p>
    <w:p>
      <w:r>
        <w:t>Bellinzone, le 18 juin 2013</w:t>
      </w:r>
    </w:p>
    <w:p>
      <w:r>
        <w:t>Au nom de la Cour des plaintes du Tribunal pénal fédéral</w:t>
      </w:r>
    </w:p>
    <w:p>
      <w:r>
        <w:t>Le juge rapporteur:</w:t>
      </w:r>
    </w:p>
    <w:p>
      <w:r>
        <w:t>La greffière:</w:t>
      </w:r>
    </w:p>
    <w:p>
      <w:r>
        <w:t>Distribution</w:t>
      </w:r>
    </w:p>
    <w:p>
      <w:r>
        <w:t>- Me Paul Gully-Hart - Tribunal pénal fédéral - Ministère public de la Confédération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