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BP.2013.3 vom 27. Februar 2013</w:t>
      </w:r>
    </w:p>
    <w:p>
      <w:r>
        <w:t>Bundesstrafgericht, 2013-02-27, FR</w:t>
      </w:r>
    </w:p>
    <w:p>
      <w:r>
        <w:rPr>
          <w:b/>
        </w:rPr>
        <w:t xml:space="preserve">Quelle: </w:t>
      </w:r>
      <w:r>
        <w:t>https://mcp.opencaselaw.ch/entscheid/bstger_BP.2013.3</w:t>
      </w:r>
    </w:p>
    <w:p>
      <w:r>
        <w:t>FR: TPF BP.2013.3 du 27 février 2013</w:t>
      </w:r>
    </w:p>
    <w:p>
      <w:r>
        <w:t>IT: TPF BP.2013.3 del 27 febbraio 2013</w:t>
      </w:r>
    </w:p>
    <w:p>
      <w:pPr>
        <w:pStyle w:val="Heading2"/>
      </w:pPr>
      <w:r>
        <w:t>Regeste</w:t>
      </w:r>
    </w:p>
    <w:p>
      <w:r>
        <w:t>Effet suspensif (art. 387 CPP).</w:t>
      </w:r>
    </w:p>
    <w:p>
      <w:pPr>
        <w:pStyle w:val="Heading2"/>
      </w:pPr>
      <w:r>
        <w:t>Erwägungen</w:t>
      </w:r>
    </w:p>
    <w:p>
      <w:r>
        <w:rPr>
          <w:b/>
        </w:rPr>
        <w:t>E. 4</w:t>
      </w:r>
    </w:p>
    <w:p>
      <w:r>
        <w:t>février 2004, consid. 6; cf. aussi l’arrêt 1B_347/2009 précité ibidem);</w:t>
      </w:r>
    </w:p>
    <w:p>
      <w:r>
        <w:t>qu'en la présente espèce, le MPC ne mentionne aucunement, dans l'acte attaqué, respectivement dans sa prise de position sur la question de l'effet suspensif, que l'accès au dossier garanti à la banque B. du fait de son admission comme partie plaignante à la procédure SV.12.1845 ferait l'objet d'un aménagement particulier à ce stade;</w:t>
      </w:r>
    </w:p>
    <w:p>
      <w:r>
        <w:t>que dès lors et au vu des considérations qui précèdent, l’intérêt public à ne pas laisser la banque B. prendre connaissance du dossier de la procédure jusqu’à droit connu sur le sort de sa constitution en tant que partie plaignante l’emporte sur son intérêt privé à y avoir accès;</w:t>
      </w:r>
    </w:p>
    <w:p>
      <w:r>
        <w:t>que l'octroi de l'effet suspensif ne préjuge en rien de la décision au fond et ne lui enlève nullement toute efficacité, au cas où celle-ci devait être confirmée;</w:t>
      </w:r>
    </w:p>
    <w:p>
      <w:r>
        <w:t>que dans ces conditions, il y a lieu d’admettre la requête d'effet suspensif;</w:t>
      </w:r>
    </w:p>
    <w:p>
      <w:r>
        <w:t>que le sort des frais suivra celui de la cause au fond.</w:t>
      </w:r>
    </w:p>
    <w:p>
      <w:r>
        <w:t>- 5 -</w:t>
      </w:r>
    </w:p>
    <w:p>
      <w:r>
        <w:t>Ordonne:</w:t>
      </w:r>
    </w:p>
    <w:p>
      <w:r>
        <w:t>1. La requête est admise et l'effet suspensif est accordé au recours.</w:t>
      </w:r>
    </w:p>
    <w:p>
      <w:r>
        <w:t>2. Le sort des frais suivra celui de la cause au fond.</w:t>
      </w:r>
    </w:p>
    <w:p>
      <w:r>
        <w:t>Bellinzone, le 27 février 2013</w:t>
      </w:r>
    </w:p>
    <w:p>
      <w:r>
        <w:t>Au nom de la Cour des plaintes du Tribunal pénal fédéral</w:t>
      </w:r>
    </w:p>
    <w:p>
      <w:r>
        <w:t>Le juge rapporteur: Le greffier:</w:t>
      </w:r>
    </w:p>
    <w:p>
      <w:r>
        <w:t>Distribution</w:t>
      </w:r>
    </w:p>
    <w:p>
      <w:r>
        <w:t>- Me Guillaume Fatio, avocat - Ministère public de la Confédération - Me Yves Klein, avocat</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