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BP.2012.41 vom 17. Juli 2012</w:t>
      </w:r>
    </w:p>
    <w:p>
      <w:r>
        <w:t>Bundesstrafgericht, 2012-07-17, FR</w:t>
      </w:r>
    </w:p>
    <w:p>
      <w:r>
        <w:rPr>
          <w:b/>
        </w:rPr>
        <w:t xml:space="preserve">Quelle: </w:t>
      </w:r>
      <w:r>
        <w:t>https://mcp.opencaselaw.ch/entscheid/bstger_BP.2012.41</w:t>
      </w:r>
    </w:p>
    <w:p>
      <w:r>
        <w:t>FR: TPF BP.2012.41 du 17 juillet 2012</w:t>
      </w:r>
    </w:p>
    <w:p>
      <w:r>
        <w:t>IT: TPF BP.2012.41 del 17 luglio 2012</w:t>
      </w:r>
    </w:p>
    <w:p>
      <w:pPr>
        <w:pStyle w:val="Heading2"/>
      </w:pPr>
      <w:r>
        <w:t>Regeste</w:t>
      </w:r>
    </w:p>
    <w:p>
      <w:r>
        <w:t>Effet suspensif (art. 387 CCP).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L'effet suspensif est accordé au recours.</w:t>
      </w:r>
    </w:p>
    <w:p>
      <w:r>
        <w:rPr>
          <w:b/>
        </w:rPr>
        <w:t>E. 2</w:t>
      </w:r>
    </w:p>
    <w:p>
      <w:r>
        <w:t>Le sort des frais suivra celui de la cause au fond.</w:t>
      </w:r>
    </w:p>
    <w:p>
      <w:r>
        <w:t>Bellinzone, le 18 juillet 2012</w:t>
      </w:r>
    </w:p>
    <w:p>
      <w:r>
        <w:t>Au nom de la Cour des plaintes du Tribunal pénal fédéral</w:t>
      </w:r>
    </w:p>
    <w:p>
      <w:r>
        <w:t>Le président:</w:t>
      </w:r>
    </w:p>
    <w:p>
      <w:r>
        <w:t>Le greffier:</w:t>
      </w:r>
    </w:p>
    <w:p>
      <w:r>
        <w:t>Distribution</w:t>
      </w:r>
    </w:p>
    <w:p>
      <w:r>
        <w:t>- Mes Bruno de Preux et Patrick Hunziker, avocats - Ministère public de la Confédération - Me Enrico Monfrini, avocat</w:t>
      </w:r>
    </w:p>
    <w:p>
      <w:r>
        <w:t>Indication des voies de recours Il n’existe pas de voie de recours ordinaire contre la présente ordonnance.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