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BStGer BP.2012.14 vom 26. April 2012</w:t>
      </w:r>
    </w:p>
    <w:p>
      <w:r>
        <w:t>Bundesstrafgericht, 2012-04-26, IT</w:t>
      </w:r>
    </w:p>
    <w:p>
      <w:r>
        <w:rPr>
          <w:b/>
        </w:rPr>
        <w:t xml:space="preserve">Quelle: </w:t>
      </w:r>
      <w:r>
        <w:t>https://mcp.opencaselaw.ch/entscheid/bstger_BP.2012.14</w:t>
      </w:r>
    </w:p>
    <w:p>
      <w:r>
        <w:t>FR: TPF BP.2012.14 du 26 avril 2012</w:t>
      </w:r>
    </w:p>
    <w:p>
      <w:r>
        <w:t>IT: TPF BP.2012.14 del 26 aprile 2012</w:t>
      </w:r>
    </w:p>
    <w:p>
      <w:pPr>
        <w:pStyle w:val="Heading2"/>
      </w:pPr>
      <w:r>
        <w:t>Regeste</w:t>
      </w:r>
    </w:p>
    <w:p>
      <w:r>
        <w:t>Effetto sospensivo (art. 28 cpv. 5 DPA).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A.,</w:t>
      </w:r>
    </w:p>
    <w:p>
      <w:r>
        <w:rPr>
          <w:b/>
        </w:rPr>
        <w:t>E. 2</w:t>
      </w:r>
    </w:p>
    <w:p>
      <w:r>
        <w:t>B. SA,</w:t>
      </w:r>
    </w:p>
    <w:p>
      <w:r>
        <w:rPr>
          <w:b/>
        </w:rPr>
        <w:t>E. 3</w:t>
      </w:r>
    </w:p>
    <w:p>
      <w:r>
        <w:t>C. SA,</w:t>
      </w:r>
    </w:p>
    <w:p>
      <w:r>
        <w:rPr>
          <w:b/>
        </w:rPr>
        <w:t>E. 4</w:t>
      </w:r>
    </w:p>
    <w:p>
      <w:r>
        <w:t>D. SA,</w:t>
      </w:r>
    </w:p>
    <w:p>
      <w:r>
        <w:rPr>
          <w:b/>
        </w:rPr>
        <w:t>E. 5</w:t>
      </w:r>
    </w:p>
    <w:p>
      <w:r>
        <w:t>E. SA,</w:t>
      </w:r>
    </w:p>
    <w:p>
      <w:r>
        <w:rPr>
          <w:b/>
        </w:rPr>
        <w:t>E. 6</w:t>
      </w:r>
    </w:p>
    <w:p>
      <w:r>
        <w:t>F. SA,</w:t>
      </w:r>
    </w:p>
    <w:p>
      <w:r>
        <w:t>tutti rappresentati dall’avv. Fiorenzo Cotti,</w:t>
      </w:r>
    </w:p>
    <w:p>
      <w:r>
        <w:t>Reclamanti</w:t>
      </w:r>
    </w:p>
    <w:p>
      <w:r>
        <w:t>contro</w:t>
      </w:r>
    </w:p>
    <w:p>
      <w:r>
        <w:t>AMMINISTRAZIONE FEDERALE DELLE CONTRI- BUZIONI,</w:t>
      </w:r>
    </w:p>
    <w:p>
      <w:r>
        <w:t>Controparte</w:t>
      </w:r>
    </w:p>
    <w:p>
      <w:r>
        <w:t>B u n d e s s t r a f g e r i c h t T r i b u n a l p é n a l f é d é r a l T r i b u n a l e p e n a l e f e d e r a l e T r i b u n a l p e n a l f e d e r a l Numero dell’incarto: BP.2012.14-19</w:t>
      </w:r>
    </w:p>
    <w:p>
      <w:r>
        <w:t>- 2 -</w:t>
      </w:r>
    </w:p>
    <w:p>
      <w:r>
        <w:t>Oggetto</w:t>
      </w:r>
    </w:p>
    <w:p>
      <w:r>
        <w:t>Effetto sospensivo (art. 28 cpv. 5 DPA)</w:t>
      </w:r>
    </w:p>
    <w:p>
      <w:r>
        <w:t>- 3 -</w:t>
      </w:r>
    </w:p>
    <w:p>
      <w:r>
        <w:t>Il Presidente della Corte dei reclami penali, visti: - l’inchiesta fiscale speciale giusta gli art. 190 e segg. LIFD aperta il 20 febbraio 2012 dall’Amministrazione federale delle contribuzioni (in seguito: AFC) nei con- fronti di A. e G.;</w:t>
      </w:r>
    </w:p>
    <w:p>
      <w:r>
        <w:t>- la decisione 7 marzo 2012 dell’AFC che ha ordinato il sequestro di tutti gli averi bancari di cui gli imputati sono titolari, aventi diritto economico e dei conti dei quali hanno diritto di firma presso 18 istituti bancari;</w:t>
      </w:r>
    </w:p>
    <w:p>
      <w:r>
        <w:t>- il reclamo presentato il 12 marzo 2012 da A. e cinque società a lui riconducibili e di cui è amministratore unico al direttore dell’AFC, volto ad ottenere in via princi- pale l’annullamento della decisione impugnata, e di conseguenza la levata di tutti i sequestri;</w:t>
      </w:r>
    </w:p>
    <w:p>
      <w:r>
        <w:t>- la richiesta formulata a titolo cautelare e supercautelare (nonché in via subordina- ta) di ordinare il dissequestro di fr. 200'000.- dal conto H. intestato a A. (v. act. 1, pag. 7-8);</w:t>
      </w:r>
    </w:p>
    <w:p>
      <w:r>
        <w:t>- la trasmissione giusta l’art. 26 cpv. 3 DPA del reclamo e delle relative osserva- zioni dell’AFC alla Corte dei reclami penali.</w:t>
      </w:r>
    </w:p>
    <w:p>
      <w:r>
        <w:t>Considerato: - che giusta l’art. 28 cpv. 5 DPA, in quanto la legge non disponga altrimenti, il re- clamo non ha effetto sospensivo, salvo che questo gli sia conferito tramite prov- vedimento cautelare dall’autorità adita o dal suo presidente;</w:t>
      </w:r>
    </w:p>
    <w:p>
      <w:r>
        <w:t>- che il conferimento dell’effetto sospensivo dipende, di regola, dalle particolarità del caso e dalla ponderazione degli interessi in gioco (DTF 107 Ia 269 consid. 1);</w:t>
      </w:r>
    </w:p>
    <w:p>
      <w:r>
        <w:t>- che il reclamante chiede il dissequestro immediato, a titolo cautelare e su- percautelare, di un importo di fr. 200'000.- alfine di garantire il suo sosten- tamento e il pagamento delle spese processuali e legali;</w:t>
      </w:r>
    </w:p>
    <w:p>
      <w:r>
        <w:t>- che il sequestro previsto all’art. 46 DPA è una misura processuale provvisionale che permette di mettere in sicurezza gli oggetti che possono avere importanza quali mezzi di prova, rispettivamente gli oggetti e gli altri beni che saranno pre- sumibilmente confiscati;</w:t>
      </w:r>
    </w:p>
    <w:p>
      <w:r>
        <w:t>- che l’indagine fiscale in oggetto, tuttora nella fase iniziale, si presenta complessa per la sua natura e per il numero di soggetti coinvolti (società);</w:t>
      </w:r>
    </w:p>
    <w:p>
      <w:r>
        <w:t>- 4 -</w:t>
      </w:r>
    </w:p>
    <w:p>
      <w:r>
        <w:t>- che lo scopo dell’indagine è quello di appurare, segnatamente tramite l’esame della copiosa documentazione perquisita e sequestrata, l’esatto ammontare dell’imposta sottratta agli obblighi fiscali da parte degli imputati;</w:t>
      </w:r>
    </w:p>
    <w:p>
      <w:r>
        <w:t>- che la concessione dell’effetto sospensivo tramite un provvedimento cautelare di sblocco di un determinato importo da un conto sequestrato annullerebbe de facto gli effetti provvisori del sequestro e costituirebbe una decisione anticipata del me- rito;</w:t>
      </w:r>
    </w:p>
    <w:p>
      <w:r>
        <w:t>- che nel caso concreto il reclamante nemmeno sostanzia l’eventuale pregiudizio immediato e irreparabile che subirebbe qualora al reclamo non fosse concesso l’effetto sospensivo, limitandosi ad esporre la sua richiesta in modo laconico a pag. 7 in fondo del suo reclamo (v. act. 1);</w:t>
      </w:r>
    </w:p>
    <w:p>
      <w:r>
        <w:t>- che peraltro l’autorità inquirente ha già segnalato nelle proprie osservazioni al reclamo (v. act. 2, pag. 7, dell’incarto BV.2012.3-8) la possibilità – quando avrà a disposizione tutte le informazioni in merito ai beni sequestrati – di procedere a delle levate parziali dei sequestri ordinati per mettere a disposizione dell’imputato i mezzi di sussistenza sufficienti, rispettivamente affinché le società da lui domi- nate possano proseguire la loro attività;</w:t>
      </w:r>
    </w:p>
    <w:p>
      <w:r>
        <w:t>- 5 -</w:t>
      </w:r>
    </w:p>
    <w:p>
      <w:r>
        <w:t>Decreta: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