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BP.2011.73 vom 21. Dezember 2011</w:t>
      </w:r>
    </w:p>
    <w:p>
      <w:r>
        <w:t>Bundesstrafgericht, 2011-12-21, FR</w:t>
      </w:r>
    </w:p>
    <w:p>
      <w:r>
        <w:rPr>
          <w:b/>
        </w:rPr>
        <w:t xml:space="preserve">Quelle: </w:t>
      </w:r>
      <w:r>
        <w:t>https://mcp.opencaselaw.ch/entscheid/bstger_BP.2011.73</w:t>
      </w:r>
    </w:p>
    <w:p>
      <w:r>
        <w:t>FR: TPF BP.2011.73 du 21 décembre 2011</w:t>
      </w:r>
    </w:p>
    <w:p>
      <w:r>
        <w:t>IT: TPF BP.2011.73 del 21 dicembre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Il n’est pas octroyé de dépens.</w:t>
      </w:r>
    </w:p>
    <w:p>
      <w:r>
        <w:t>Bellinzone, le 21 décembre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Maurice Harari, avocat - Ministère public de la Confédération - Me Patrick O’Neill, avocat</w:t>
      </w:r>
    </w:p>
    <w:p>
      <w:r>
        <w:t>Indication des voies de recours 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