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BP.2011.67 vom 25. November 2011</w:t>
      </w:r>
    </w:p>
    <w:p>
      <w:r>
        <w:t>Bundesstrafgericht, 2011-11-25, FR</w:t>
      </w:r>
    </w:p>
    <w:p>
      <w:r>
        <w:rPr>
          <w:b/>
        </w:rPr>
        <w:t xml:space="preserve">Quelle: </w:t>
      </w:r>
      <w:r>
        <w:t>https://mcp.opencaselaw.ch/entscheid/bstger_BP.2011.67</w:t>
      </w:r>
    </w:p>
    <w:p>
      <w:r>
        <w:t>FR: TPF BP.2011.67 du 25 novembre 2011</w:t>
      </w:r>
    </w:p>
    <w:p>
      <w:r>
        <w:t>IT: TPF BP.2011.67 del 25 novembre 2011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du 10 février et 11 juin 2010; JdT 2008 IV 66, no 312 p. 161; KOLLY, Le pourvoi en nullité à la Cour de cassation pénale du Tribunal fédéral: un aperçu de la pratique, Berne 2004, p. 58 s. no 5.3.6; CORBOZ, Commentaire de la LTF, Berne 2009, nos 26 et 28 ad art. 103; DONZALLAZ, Loi sur le Tri- bunal fédéral – Commentaire, Berne 2008, no 4166);</w:t>
      </w:r>
    </w:p>
    <w:p>
      <w:r>
        <w:t>qu’en tout état de cause, l’octroi de l’effet suspensif ne saurait avoir pour conséquence de compromettre l’efficacité de la mesure ordonnée, pour peu que celle-ci, comme c’est le cas en l’espèce, ne soit pas d’emblée in- justifiée (BÖSCH, Die Anklagekammer des Schweizerischen Bundesgerichts [Aufgaben und Verfahren], thèse, Zurich 1978, p. 87);</w:t>
      </w:r>
    </w:p>
    <w:p>
      <w:r>
        <w:t>qu’il sied de souligner à titre préliminaire que l’ordonnance querellée, contrairement au libellé de son point 2, ne décrète pas un ordre de produc- tion, au sens de l’art. 265 CPP, des documents bancaires visés mais pro- nonce en réalité le séquestre de ceux-ci;</w:t>
      </w:r>
    </w:p>
    <w:p>
      <w:r>
        <w:t>qu’en effet, en opposition à la production de documents, la mesure de contrainte du séquestre réside dans la décision de conserver les pièces concernées et de les verser au dossier pénal (arrêt du Tribunal fédéral 1B_178/2007 du 12 novembre 2007, consid. 1.4);</w:t>
      </w:r>
    </w:p>
    <w:p>
      <w:r>
        <w:t>qu’il ressort des déterminations du MPC ainsi que de l’ordonnance querel- lée que cette dernière autorité a déjà versé à la procédure les documents bancaires transmis par la banque et que l’analyse de ceux-ci a déjà été en- treprise (act. 6, p. 1 et BB.2011.127, act. 1.1, p. 2);</w:t>
      </w:r>
    </w:p>
    <w:p>
      <w:r>
        <w:t>qu’il y a ainsi lieu de considérer que le MPC a séquestré non seulement les valeurs patrimoniales indiquées mais également les documents bancaires y relatifs;</w:t>
      </w:r>
    </w:p>
    <w:p>
      <w:r>
        <w:t>que, en l’occurrence, octroyer l’effet suspensif au présent recours revien- drait dès lors à vider les mesures entreprises de leur contenu;</w:t>
      </w:r>
    </w:p>
    <w:p>
      <w:r>
        <w:t>que, dans ces conditions, dite requête doit être rejetée tant en ce qui concerne le séquestre des avoirs que celui des pièces bancaires;</w:t>
      </w:r>
    </w:p>
    <w:p>
      <w:r>
        <w:t>- 4 -</w:t>
      </w:r>
    </w:p>
    <w:p>
      <w:r>
        <w:t>qu’il convient au demeurant de souligner, par surabondance, que la recou- rante ne fait valoir aucun élément rendant vraisemblable l’existence d’un quelconque préjudice irréparable en relation avec les mesures entreprises;</w:t>
      </w:r>
    </w:p>
    <w:p>
      <w:r>
        <w:t>que le sort des frais suivra celui de la décision au fond.</w:t>
      </w:r>
    </w:p>
    <w:p>
      <w:r>
        <w:t>- 5 -</w:t>
      </w:r>
    </w:p>
    <w:p>
      <w:r>
        <w:t>Ordonne:</w:t>
      </w:r>
    </w:p>
    <w:p>
      <w:r>
        <w:t>1. La requête d’effet suspensif est rejetée.</w:t>
      </w:r>
    </w:p>
    <w:p>
      <w:r>
        <w:t>2. Le sort des frais suivra celui de la cause au fond.</w:t>
      </w:r>
    </w:p>
    <w:p>
      <w:r>
        <w:t>Bellinzone, le 25 novembre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Mes Edgar H. Paltzer et Isabelle Romy, avocats - Ministère public de la Confédération</w:t>
      </w:r>
    </w:p>
    <w:p>
      <w:r>
        <w:t>Indication des voies de recours Cette ordonnance n’est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