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BP.2011.55 vom 28. Oktober 2011</w:t>
      </w:r>
    </w:p>
    <w:p>
      <w:r>
        <w:t>Bundesstrafgericht, 2011-10-28, FR</w:t>
      </w:r>
    </w:p>
    <w:p>
      <w:r>
        <w:rPr>
          <w:b/>
        </w:rPr>
        <w:t xml:space="preserve">Quelle: </w:t>
      </w:r>
      <w:r>
        <w:t>https://mcp.opencaselaw.ch/entscheid/bstger_BP.2011.55</w:t>
      </w:r>
    </w:p>
    <w:p>
      <w:r>
        <w:t>FR: TPF BP.2011.55 du 28 octobre 2011</w:t>
      </w:r>
    </w:p>
    <w:p>
      <w:r>
        <w:t>IT: TPF BP.2011.55 del 28 ottobre 2011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28 octobre 2011</w:t>
      </w:r>
    </w:p>
    <w:p>
      <w:r>
        <w:t>Au nom de la Ire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Paul Gully-Hart, avocat - Ministère public de la Confédération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