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BP.2011.31 vom 13. Juli 2011</w:t>
      </w:r>
    </w:p>
    <w:p>
      <w:r>
        <w:t>Bundesstrafgericht, 2011-07-13, DE</w:t>
      </w:r>
    </w:p>
    <w:p>
      <w:r>
        <w:rPr>
          <w:b/>
        </w:rPr>
        <w:t xml:space="preserve">Quelle: </w:t>
      </w:r>
      <w:r>
        <w:t>https://mcp.opencaselaw.ch/entscheid/bstger_BP.2011.31</w:t>
      </w:r>
    </w:p>
    <w:p>
      <w:r>
        <w:t>FR: TPF BP.2011.31 du 13 juillet 2011</w:t>
      </w:r>
    </w:p>
    <w:p>
      <w:r>
        <w:t>IT: TPF BP.2011.31 del 13 luglio 2011</w:t>
      </w:r>
    </w:p>
    <w:p>
      <w:pPr>
        <w:pStyle w:val="Heading2"/>
      </w:pPr>
      <w:r>
        <w:t>Regeste</w:t>
      </w:r>
    </w:p>
    <w:p>
      <w:r>
        <w:t>Unentgeltliche Rechtspflege (Art. 29 Abs. 3 BV).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Juni 2011 darauf hingewiesen wurde, dass unvollständige oder nicht mit den erforderlichen Beilagen versehene Gesuche ohne weiteres abgewiesen werden können (act. 2);</w:t>
      </w:r>
    </w:p>
    <w:p>
      <w:r>
        <w:t>- das vorliegende Gesuch um Gewährung der unentgeltlichen Rechtspflege demzufolge abzuweisen ist;</w:t>
      </w:r>
    </w:p>
    <w:p>
      <w:r>
        <w:t>- dem Gesuchsteller bis 25. Juli 2011 Frist gesetzt wird zur Leistung eines Kos- tenvorschusses in Höhe von Fr. 1'500.--;</w:t>
      </w:r>
    </w:p>
    <w:p>
      <w:r>
        <w:t>- die Kosten des vorliegenden Entscheides zur Hauptsache geschlagen wer- den;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