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BP.2010.73 vom 16. Dezember 2010</w:t>
      </w:r>
    </w:p>
    <w:p>
      <w:r>
        <w:t>Bundesstrafgericht, 2010-12-16, DE</w:t>
      </w:r>
    </w:p>
    <w:p>
      <w:r>
        <w:rPr>
          <w:b/>
        </w:rPr>
        <w:t xml:space="preserve">Quelle: </w:t>
      </w:r>
      <w:r>
        <w:t>https://mcp.opencaselaw.ch/entscheid/bstger_BP.2010.73</w:t>
      </w:r>
    </w:p>
    <w:p>
      <w:r>
        <w:t>FR: TPF BP.2010.73 du 16 décembre 2010</w:t>
      </w:r>
    </w:p>
    <w:p>
      <w:r>
        <w:t>IT: TPF BP.2010.73 del 16 dicembre 2010</w:t>
      </w:r>
    </w:p>
    <w:p>
      <w:pPr>
        <w:pStyle w:val="Heading2"/>
      </w:pPr>
      <w:r>
        <w:t>Regeste</w:t>
      </w:r>
    </w:p>
    <w:p>
      <w:r>
        <w:t>Aufschiebende Wirkung (Art. 218 BStP).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Dezember 2010 einen Antrag auf vorübergehende Aushändigung sei- ner Identitätskarte zwecks Ausreise nach Deutschland zur Wahrnehmung eines Vorstellungsgesprächs stellte (die entsprechenden Eingaben wurden dem vorliegenden Gesuch nicht beigelegt);</w:t>
      </w:r>
    </w:p>
    <w:p>
      <w:r>
        <w:t>- die Gesuchsgegnerin diesen Antrag mit Verfügung vom 14. Dezem- ber 2010 abwies (BH.2010.17, act. 1.2);</w:t>
      </w:r>
    </w:p>
    <w:p>
      <w:r>
        <w:t>- der Gesuchsteller hiergegen mit Beschwerde vom 15. Dezember 2010 an die I. Beschwerdekammer des Bundesstrafgerichts gelangte und diesbe- züglich im Sinne einer vorsorglichen Massnahme die unverzügliche Her- ausgabe seiner Identitätskarte zwecks Teilnahme an einem Vorstellungs- gesprächs in Deutschland am 17. Dezember 2010 beantragte (act. 1);</w:t>
      </w:r>
    </w:p>
    <w:p>
      <w:r>
        <w:t>- auf Grund der zeitlichen Dringlichkeit auf die Einholung einer Stellungnah- me der Gesuchsgegnerin verzichtet wurde;</w:t>
      </w:r>
    </w:p>
    <w:p>
      <w:r>
        <w:t>- die Gewährung des Suspensiveffektes in der Regel von den konkreten Umständen und einer Abwägung der widerstreitenden Interessen abhängt (vgl. BGE 107 Ia 269 E. 1 S. 270), wobei der Vollzug der angefochtenen Verfügung nicht aufgeschoben werden darf, wenn damit der Zweck der Un-</w:t>
      </w:r>
    </w:p>
    <w:p>
      <w:r>
        <w:t>- 3 -</w:t>
      </w:r>
    </w:p>
    <w:p>
      <w:r>
        <w:t>tersuchung bzw. der mit der Massnahme angestrebte Zweck gefährdet oder vereitelt würde (vgl. GUIDON/WÜTHRICH, Zur Praxis bei Beschwerden gegen das Bundesstrafgericht, plädoyer 4/2005, S. 34 ff., 39 f.; BÖSCH, Die Anklagekammer des Schweizerischen Bundesgerichts [Aufgaben und Ver- fahren], Diss. Zürich 1978, S. 87);</w:t>
      </w:r>
    </w:p>
    <w:p>
      <w:r>
        <w:t>- der Gesuchsteller geltend macht, dass ihm ein nicht wieder gut zu ma- chender Nachteil erwachse, wenn er nicht am erwähnten Vorstellungsge- spräch teilnehmen könne;</w:t>
      </w:r>
    </w:p>
    <w:p>
      <w:r>
        <w:t>- die Gesuchsgegnerin demgegenüber offenbar nach wie vor vom Vorliegen einer konkreten Fluchtgefahr ausgeht;</w:t>
      </w:r>
    </w:p>
    <w:p>
      <w:r>
        <w:t>- der Gesuchsteller hinsichtlich des Vorstellungsgesprächs zwar einige, we- nig spezifizierte Angaben zum möglichen Arbeitgeber und seiner möglichen Arbeitstätigkeit macht, diesbezüglich jedoch keinerlei Unterlagen beilegt, welche die Glaubhaftigkeit seiner Aussagen untermauern würden;</w:t>
      </w:r>
    </w:p>
    <w:p>
      <w:r>
        <w:t>- sich nach dem Gesagten das Gesuch als unbegründet erweist, weshalb es abzuweisen ist;</w:t>
      </w:r>
    </w:p>
    <w:p>
      <w:r>
        <w:t>- die Kosten des vorliegenden Entscheides bei der Hauptsache verbleiben;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