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BP.2010.66 vom 22. November 2010</w:t>
      </w:r>
    </w:p>
    <w:p>
      <w:r>
        <w:t>Bundesstrafgericht, 2010-11-22, FR</w:t>
      </w:r>
    </w:p>
    <w:p>
      <w:r>
        <w:rPr>
          <w:b/>
        </w:rPr>
        <w:t xml:space="preserve">Quelle: </w:t>
      </w:r>
      <w:r>
        <w:t>https://mcp.opencaselaw.ch/entscheid/bstger_BP.2010.66</w:t>
      </w:r>
    </w:p>
    <w:p>
      <w:r>
        <w:t>FR: TPF BP.2010.66 du 22 novembre 2010</w:t>
      </w:r>
    </w:p>
    <w:p>
      <w:r>
        <w:t>IT: TPF BP.2010.66 del 22 novembre 2010</w:t>
      </w:r>
    </w:p>
    <w:p>
      <w:pPr>
        <w:pStyle w:val="Heading2"/>
      </w:pPr>
      <w:r>
        <w:t>Regeste</w:t>
      </w:r>
    </w:p>
    <w:p>
      <w:r>
        <w:t>Effet suspensif (art. 218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d’effet suspensif est rejetée.</w:t>
      </w:r>
    </w:p>
    <w:p>
      <w:r>
        <w:rPr>
          <w:b/>
        </w:rPr>
        <w:t>E. 2</w:t>
      </w:r>
    </w:p>
    <w:p>
      <w:r>
        <w:t>Les frais de la présente ordonnance seront réglés conjointement avec ceux de la décision au fond.</w:t>
      </w:r>
    </w:p>
    <w:p>
      <w:r>
        <w:t>Bellinzone, le 22 novembre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A., avocat - Ministère public de la Confédération - L., avocat</w:t>
      </w:r>
    </w:p>
    <w:p>
      <w:r>
        <w:t>Indication des voies de recours Il n’existe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