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BP.2010.6 vom 10. Februar 2010</w:t>
      </w:r>
    </w:p>
    <w:p>
      <w:r>
        <w:t>Bundesstrafgericht, 2010-02-10, FR</w:t>
      </w:r>
    </w:p>
    <w:p>
      <w:r>
        <w:rPr>
          <w:b/>
        </w:rPr>
        <w:t xml:space="preserve">Quelle: </w:t>
      </w:r>
      <w:r>
        <w:t>https://mcp.opencaselaw.ch/entscheid/bstger_BP.2010.6</w:t>
      </w:r>
    </w:p>
    <w:p>
      <w:r>
        <w:t>FR: TPF BP.2010.6 du 10 février 2010</w:t>
      </w:r>
    </w:p>
    <w:p>
      <w:r>
        <w:t>IT: TPF BP.2010.6 del 10 febbraio 2010</w:t>
      </w:r>
    </w:p>
    <w:p>
      <w:pPr>
        <w:pStyle w:val="Heading2"/>
      </w:pPr>
      <w:r>
        <w:t>Regeste</w:t>
      </w:r>
    </w:p>
    <w:p>
      <w:r>
        <w:t>Effet suspensif (art. 218 PPF).</w:t>
      </w:r>
    </w:p>
    <w:p>
      <w:pPr>
        <w:pStyle w:val="Heading2"/>
      </w:pPr>
      <w:r>
        <w:t>Volltext</w:t>
      </w:r>
    </w:p>
    <w:p>
      <w:r>
        <w:t>Ordonnance du 10 février 2010 Le président de la Ire Cour des plaintes Composition</w:t>
      </w:r>
    </w:p>
    <w:p>
      <w:r>
        <w:t>Le juge pénal fédéral Tito Ponti, président, le greffier Aurélien Stettler</w:t>
      </w:r>
    </w:p>
    <w:p>
      <w:r>
        <w:t>Parties</w:t>
      </w:r>
    </w:p>
    <w:p>
      <w:r>
        <w:t>A., représenté par Me Cédric Aguet, avocat, plaignant</w:t>
      </w:r>
    </w:p>
    <w:p>
      <w:r>
        <w:t>contre</w:t>
      </w:r>
    </w:p>
    <w:p>
      <w:r>
        <w:t>MINISTÈRE PUBLIC DE LA CONFÉDÉRATION, partie adverse</w:t>
      </w:r>
    </w:p>
    <w:p>
      <w:r>
        <w:t>Objet</w:t>
      </w:r>
    </w:p>
    <w:p>
      <w:r>
        <w:t>Effet suspensif (art. 218 PPF)</w:t>
      </w:r>
    </w:p>
    <w:p>
      <w:r>
        <w:t>B u n d e s s t r a f g e r i c h t T r i b u n a l p é n a l f é d é r a l T r i b u n a l e p e n a l e f e d e r a l e T r i b u n a l p e n a l f e d e r a l Numéro de dossier: BP.2010.6 (Procédure principale: BB.2010.7)</w:t>
      </w:r>
    </w:p>
    <w:p>
      <w:r>
        <w:t>- 2 -</w:t>
      </w:r>
    </w:p>
    <w:p>
      <w:r>
        <w:t>Vu:</w:t>
      </w:r>
    </w:p>
    <w:p>
      <w:r>
        <w:t>- la décision du 21 janvier 2010 par laquelle le Ministère public de la Confédé- ration (ci-après: MPC) a ordonné le séquestre des valeurs patrimoniales dé- posées sur les relations bancaires dont A. est ou a été titulaire, ayant droit économique ou au bénéfice d’un pouvoir de signature auprès de la banque B., ainsi que la production des documents bancaires y relatifs,</w:t>
      </w:r>
    </w:p>
    <w:p>
      <w:r>
        <w:t>- la plainte de A. du 29 janvier 2010 concluant à l’annulation de l’ordonnance de séquestre et de production de documents du 21 janvier 2010, l’effet sus- pensif devant préalablement être accordé à sa démarche,</w:t>
      </w:r>
    </w:p>
    <w:p>
      <w:r>
        <w:t>- les déterminations du MPC du 8 février 2010 aux termes desquelles le com- plexe de faits dans lequel l’ordonnance entreprise a été rendue a été trans- mis aux autorités du canton X. comme objet de leur compétence (act. 3.5 et 3.6), d’une part, et le maintien du séquestre se justifie du fait que sa levée immédiate « viderait complètement le recours de son sens, dans la mesure où la conservation des valeurs en vue de leur éventuelle confiscation s’en trouverait définitivement compromise », d’autre part,</w:t>
      </w:r>
    </w:p>
    <w:p>
      <w:r>
        <w:t>Et considérant:</w:t>
      </w:r>
    </w:p>
    <w:p>
      <w:r>
        <w:t>que l’ordonnance attaquée ayant été reçue le 25 janvier 2010, la demande d’effet suspensif a été formée en temps utile (art. 217 PPF);</w:t>
      </w:r>
    </w:p>
    <w:p>
      <w:r>
        <w:t>que, selon l’art. 218 PPF, la plainte ne suspend l’exécution de la décision entre- prise que si la Cour des plaintes ou son président l’ordonne;</w:t>
      </w:r>
    </w:p>
    <w:p>
      <w:r>
        <w:t>que le but premier d’une telle mesure est le maintien d’un état qui garantit l’efficacité de la décision ultérieure, quel que soit son contenu;</w:t>
      </w:r>
    </w:p>
    <w:p>
      <w:r>
        <w:t>que l’octroi ou le refus de l’effet suspensif dépend de la pesée des intérêts en présence et doit être fonction de chaque cas d’espèce (ATF 107 Ia 269 consid. 1 p. 270);</w:t>
      </w:r>
    </w:p>
    <w:p>
      <w:r>
        <w:t>que le plaignant doit démontrer qu’il est sur le point de subir un préjudice impor- tant et irréparable lié à l’absence d’effet suspensif (KOLLY, Le pourvoi en nullité à la Cour de cassation pénale du Tribunal fédéral: un aperçu de la pratique, Berne 2004, p. 58 s. no 5.3.6);</w:t>
      </w:r>
    </w:p>
    <w:p>
      <w:r>
        <w:t>- 3 -</w:t>
      </w:r>
    </w:p>
    <w:p>
      <w:r>
        <w:t>qu’en l’espèce, le plaignant se contente d’affirmer qu’ « il est […] indispensable que cette somme puisse être virée par la banque B. à Y. au plus tard le 1er février 2010, ce virement étant destiné à payer le prix d’achat d’un appartement à Z. (D), prix et délai ressortant d’un acte de vente parfaitement valable et exécutoire » (act. 1, p. 4);</w:t>
      </w:r>
    </w:p>
    <w:p>
      <w:r>
        <w:t>que, ce faisant, le plaignant ne démontre pas le caractère important et irréparable de l’éventuel préjudice qu’il subirait du fait de l’absence d’effet suspensif;</w:t>
      </w:r>
    </w:p>
    <w:p>
      <w:r>
        <w:t>qu’en tout état de cause, l’octroi de l’effet suspensif ne saurait avoir pour consé- quence de compromettre l’efficacité de la mesure ordonnée, pour peu que celle- ci, comme c’est le cas en l’espèce, ne soit pas d’emblée injustifiée (BÖSCH, Die Anklagekammer des Schweizerischen Bundesgerichts [Aufgaben und Verfahren], thèse, Zurich 1978, p. 87);</w:t>
      </w:r>
    </w:p>
    <w:p>
      <w:r>
        <w:t>que la requête d’effet suspensif doit ainsi être rejetée pour ces motifs déjà;</w:t>
      </w:r>
    </w:p>
    <w:p>
      <w:r>
        <w:t>que, par surabondance, la procédure ayant été déférée très récemment par le MPC à une nouvelle autorité de poursuite – soit celle du canton du canton X. (act. 3.5 et 3.6) – cette dernière doit se voir accorder la possibilité de se détermi- ner sur le fond de la présente cause sans que la mesure attaquée soit compro- mise;</w:t>
      </w:r>
    </w:p>
    <w:p>
      <w:r>
        <w:t>que les frais de la présente ordonnance seront réglés conjointement avec ceux de la décision au fond.</w:t>
      </w:r>
    </w:p>
    <w:p>
      <w:r>
        <w:t>- 4 -</w:t>
      </w:r>
    </w:p>
    <w:p>
      <w:r>
        <w:t>Par ces motifs, la Ire Cour des plaintes prononce:</w:t>
      </w:r>
    </w:p>
    <w:p>
      <w:r>
        <w:t>1. La demande d’effet suspensif est rejetée.</w:t>
      </w:r>
    </w:p>
    <w:p>
      <w:r>
        <w:t>2. Les frais de la présente ordonnance seront réglés conjointement avec ceux de la décision au fond.</w:t>
      </w:r>
    </w:p>
    <w:p>
      <w:r>
        <w:t>Bellinzone, le 10 février 2010</w:t>
      </w:r>
    </w:p>
    <w:p>
      <w:r>
        <w:t>Au nom de la Ire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 Cédric Aguet, avocat - Ministère public de la Confédération</w:t>
      </w:r>
    </w:p>
    <w:p>
      <w:r>
        <w:t>Indication des voies de recours Il n’existe pas de voie de recours ordinaire contre cette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