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BP.2010.46 vom 28. September 2010</w:t>
      </w:r>
    </w:p>
    <w:p>
      <w:r>
        <w:t>Bundesstrafgericht, 2010-09-28, IT</w:t>
      </w:r>
    </w:p>
    <w:p>
      <w:r>
        <w:rPr>
          <w:b/>
        </w:rPr>
        <w:t xml:space="preserve">Quelle: </w:t>
      </w:r>
      <w:r>
        <w:t>https://mcp.opencaselaw.ch/entscheid/bstger_BP.2010.46</w:t>
      </w:r>
    </w:p>
    <w:p>
      <w:r>
        <w:t>FR: TPF BP.2010.46 du 28 septembre 2010</w:t>
      </w:r>
    </w:p>
    <w:p>
      <w:r>
        <w:t>IT: TPF BP.2010.46 del 28 settembre 2010</w:t>
      </w:r>
    </w:p>
    <w:p>
      <w:pPr>
        <w:pStyle w:val="Heading2"/>
      </w:pPr>
      <w:r>
        <w:t>Regeste</w:t>
      </w:r>
    </w:p>
    <w:p>
      <w:r>
        <w:t>Effetto sospensivo (art. 218 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BANCA A., rappresentata dall’avv. Luca Marcellini,</w:t>
      </w:r>
    </w:p>
    <w:p>
      <w:r>
        <w:rPr>
          <w:b/>
        </w:rPr>
        <w:t>E. 2</w:t>
      </w:r>
    </w:p>
    <w:p>
      <w:r>
        <w:t>B., rappresentata dall’avv. Roberto Macconi,</w:t>
      </w:r>
    </w:p>
    <w:p>
      <w:r>
        <w:rPr>
          <w:b/>
        </w:rPr>
        <w:t>E. 3</w:t>
      </w:r>
    </w:p>
    <w:p>
      <w:r>
        <w:t>C., rappresentato dall’avv. Luigi Mattei,</w:t>
      </w:r>
    </w:p>
    <w:p>
      <w:r>
        <w:rPr>
          <w:b/>
        </w:rPr>
        <w:t>E. 4</w:t>
      </w:r>
    </w:p>
    <w:p>
      <w:r>
        <w:t>D., rappresentato dall'avv. Gino Godenzi,</w:t>
      </w:r>
    </w:p>
    <w:p>
      <w:r>
        <w:rPr>
          <w:b/>
        </w:rPr>
        <w:t>E. 5</w:t>
      </w:r>
    </w:p>
    <w:p>
      <w:r>
        <w:t>E., rappresentato dall'avv. Rossano Pinna, Reclamanti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Fissazione di un termine d'ordine per chiedere di proce- dere ad atti d'indagini (art. 102 PP) ed effetto sospensi- vo (art. 218 PP)</w:t>
      </w:r>
    </w:p>
    <w:p>
      <w:r>
        <w:t>B u n d e s s t r a f g e r i c h t T r i b u n a l p é n a l f é d é r a l T r i b u n a l e p e n a l e f e d e r a l e T r i b u n a l p e n a l f e d e r a l Numeri degli incarti: BP.2010.46+47+48+49+50 (Procedura principale: BB.2010.82+83+84+85+86)</w:t>
      </w:r>
    </w:p>
    <w:p>
      <w:r>
        <w:t>- 2 -</w:t>
      </w:r>
    </w:p>
    <w:p>
      <w:r>
        <w:t>Il Presidente della I Corte dei reclami penali, visto:</w:t>
      </w:r>
    </w:p>
    <w:p>
      <w:r>
        <w:t>- i reclami del 15/20 settembre 2010 interposti dalla Banca A. rispettiva- mente da B., C., D. e E. contro la decisione del 7/10 settembre 2010, mediante la quale il Ministero pubblico della Confederazione (in seguito: MPC) ha fissato ai reclamanti un termine d'ordine scadente il 30 ottobre 2010 per eventualmente chiedere, con istanza motivata, di procedere a determinati atti d'indagini ai sensi dell'art. 102 cpv. 1 PP;</w:t>
      </w:r>
    </w:p>
    <w:p>
      <w:r>
        <w:t>- le domande di effetto sospensivo contenute nei predetti reclami;</w:t>
      </w:r>
    </w:p>
    <w:p>
      <w:r>
        <w:t>- le osservazioni alle domande di effetto sospensivo presentate dal MPC;</w:t>
      </w:r>
    </w:p>
    <w:p>
      <w:r>
        <w:t>Considerato:</w:t>
      </w:r>
    </w:p>
    <w:p>
      <w:r>
        <w:t>- che il reclamo non sospende l’esecuzione della decisione impugnata se non nel caso in cui la Corte dei reclami penali o il suo presidente lo or- dini (art. 218 PP);</w:t>
      </w:r>
    </w:p>
    <w:p>
      <w:r>
        <w:t>- che il conferimento dell’effetto sospensivo dipende, di regola, dalle par- ticolarità del caso e dalla ponderazione degli interessi in gioco (DTF 107 Ia 269 consid. 1);</w:t>
      </w:r>
    </w:p>
    <w:p>
      <w:r>
        <w:t>- che lo scopo primario di questo provvedimento è la salvaguardia di uno stato di fatto che garantisca l’efficacia di una decisione ulteriore, qua- lunque sia il suo esito;</w:t>
      </w:r>
    </w:p>
    <w:p>
      <w:r>
        <w:t>- che il reclamante deve rendere verosimile un pregiudizio immediato e irrevocabile legato all’assenza di effetto sospensivo (KOLLY, Le pourvoi en nullité à la Cour de cassation pénale du Tribunal fédéral, un aperçu de la pratique, Berna 2004, pag. 59, pto 5.2.6);</w:t>
      </w:r>
    </w:p>
    <w:p>
      <w:r>
        <w:t>- che nella fattispecie i reclamanti fanno valere che il fatto di essere co- stretti ad esaminare un incarto molto voluminoso entro un termine trop- po breve, e ciò in una situazione in cui manca tra l'altro un chiaro orien- tamento sulle accuse loro addebitate, costituirebbe un danno difficil- mente riparabile ai diritti della difesa;</w:t>
      </w:r>
    </w:p>
    <w:p>
      <w:r>
        <w:t>- che essi postulano pertanto la concessione dell'effetto sospensivo;</w:t>
      </w:r>
    </w:p>
    <w:p>
      <w:r>
        <w:t>- 3 -</w:t>
      </w:r>
    </w:p>
    <w:p>
      <w:r>
        <w:t>- che nelle sue osservazioni del 29 gennaio 2010, il MPC afferma che i reclamanti non rendono verosimile un pregiudizio immediato e irrevo- cabile e che le domande di effetto sospensivo devono essere respinte;</w:t>
      </w:r>
    </w:p>
    <w:p>
      <w:r>
        <w:t>- che nella sostanza, per le ragioni espresse dai reclamanti, la mancata concessione dell'effetto sospensivo comprometterebbe l'oggetto stesso della lite;</w:t>
      </w:r>
    </w:p>
    <w:p>
      <w:r>
        <w:t>- che, onde mantenere intatto lo stato di diritto, le domande di concessio- ne dell’effetto sospensivo formulate dalla Banca A., rispettivamente da B., C. e D. vanno accolte;</w:t>
      </w:r>
    </w:p>
    <w:p>
      <w:r>
        <w:t>- che per quanto riguarda E., si osserva ch'egli ha chiesto, in via prelimi- nare, la concessione dell'effetto sospensivo a mezzo di esplicita men- zione nell'intestazione del suo reclamo;</w:t>
      </w:r>
    </w:p>
    <w:p>
      <w:r>
        <w:t>- che tale richiesta non è stata ribadita nel petitum e non è possibile rav- visare nel predetto reclamo una sufficiente motivazione che possa so- stanziare le intenzioni annunciate nell'intestazione del gravame;</w:t>
      </w:r>
    </w:p>
    <w:p>
      <w:r>
        <w:t>- che pur essendo la domanda di E. formulata in modo lacunoso, la stes- sa va ugualmente accolta onde garantire un trattamento uniforme dei cinque reclami giunti a codesta Corte, tenuto conto pure del fatto che anche se la concessione dell'effetto sospensivo fosse negata al recla- mante sopra menzionato la procedura sarebbe comunque sospesa sino all'emanazione della decisione di merito;</w:t>
      </w:r>
    </w:p>
    <w:p>
      <w:r>
        <w:t>- che le spese del presente decreto seguono quelle della decisione di merito.</w:t>
      </w:r>
    </w:p>
    <w:p>
      <w:r>
        <w:t>- 4 -</w:t>
      </w:r>
    </w:p>
    <w:p>
      <w:r>
        <w:t>Decreta: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