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BP.2010.25 vom 16. Juni 2010</w:t>
      </w:r>
    </w:p>
    <w:p>
      <w:r>
        <w:t>Bundesstrafgericht, 2010-06-16, DE</w:t>
      </w:r>
    </w:p>
    <w:p>
      <w:r>
        <w:rPr>
          <w:b/>
        </w:rPr>
        <w:t xml:space="preserve">Quelle: </w:t>
      </w:r>
      <w:r>
        <w:t>https://mcp.opencaselaw.ch/entscheid/bstger_BP.2010.25</w:t>
      </w:r>
    </w:p>
    <w:p>
      <w:r>
        <w:t>FR: TPF BP.2010.25 du 16 juin 2010</w:t>
      </w:r>
    </w:p>
    <w:p>
      <w:r>
        <w:t>IT: TPF BP.2010.25 del 16 giugno 2010</w:t>
      </w:r>
    </w:p>
    <w:p>
      <w:pPr>
        <w:pStyle w:val="Heading2"/>
      </w:pPr>
      <w:r>
        <w:t>Regeste</w:t>
      </w:r>
    </w:p>
    <w:p>
      <w:r>
        <w:t>Aufschiebende Wirkung (Art. 218 BStP).</w:t>
      </w:r>
    </w:p>
    <w:p>
      <w:pPr>
        <w:pStyle w:val="Heading2"/>
      </w:pPr>
      <w:r>
        <w:t>Erwägungen</w:t>
      </w:r>
    </w:p>
    <w:p>
      <w:r>
        <w:rPr>
          <w:b/>
        </w:rPr>
        <w:t>E. 14</w:t>
      </w:r>
    </w:p>
    <w:p>
      <w:r>
        <w:t>Juni 2010 bei der I. Beschwerdekammer des Bundesstrafgerichts Be- schwerde erhob und mit dieser u. a. beantragte, es sei der Beschwerde die aufschiebende Wirkung zu erteilen und es sei der Gesuchsgegnerin im Sinne einer vorsorglichen Massnahme zu verbieten, bis zum Entscheid über das Gesuch um Erteilung der aufschiebenden Wirkung mit den türki- schen Behörden keinen Kontakt im Rahmen des geplanten Rechtshilfeer- suchens aufzunehmen (act. 1);</w:t>
      </w:r>
    </w:p>
    <w:p>
      <w:r>
        <w:t>- die Gewährung des Suspensiveffektes in der Regel von den konkreten Umständen und einer Abwägung der widerstreitenden Interessen abhängt (vgl. BGE 107 Ia 269 E. 1 S. 270), wobei der Vollzug der angefochtenen Verfügung nicht aufgeschoben werden darf, wenn damit der Zweck der Un- tersuchung bzw. der mit der Massnahme angestrebte Zweck gefährdet oder vereitelt würde (vgl. GUIDON/WÜTHRICH, Zur Praxis bei Beschwerden gegen das Bundesstrafgericht, in: plädoyer 4/2005, S. 34 ff., 39 f.; BÖSCH, Die Anklagekammer des Schweizerischen Bundesgerichts [Aufgaben und Verfahren], Diss. Zürich 1978, S. 87);</w:t>
      </w:r>
    </w:p>
    <w:p>
      <w:r>
        <w:t>- der Gesuchsteller zur Begründung seines Gesuchs vorbringt, dass bereits auf Grund eines früheren Rechtshilfeersuchens der Gesuchsgegnerin an die Türkei deren Sicherheitsbehörden den Gesuchsteller verdächtigten, der PKK oder einer anderen kurdischen oder linken Gruppe angehöre, und um diesbezüglich an mehr Informationen zu gelangen, Druck auf die Familien- angehörigen des Gesuchstellers in der Türkei ausübten;</w:t>
      </w:r>
    </w:p>
    <w:p>
      <w:r>
        <w:t>- 3 -</w:t>
      </w:r>
    </w:p>
    <w:p>
      <w:r>
        <w:t>- ein Aufschub des Vollzugs der angefochtenen Verfügung den Untersu- chungszweck nicht zu gefährden bzw. zu vereiteln vermag, da das Rechts- hilfeersuchen im Falle eines Nichteintretens oder einer Abweisung der Be- schwerde ohne weiteres auch zu einem späteren Zeitpunkt noch gestellt werden kann;</w:t>
      </w:r>
    </w:p>
    <w:p>
      <w:r>
        <w:t>- der umgehende Vollzug der angefochtenen Verfügung vielmehr das Be- schwerdeverfahren obsolet machen würde, womit dem Gesuchsteller kein wirksamer Rechtsschutz gewährt werden könnte;</w:t>
      </w:r>
    </w:p>
    <w:p>
      <w:r>
        <w:t>- das Gesuch um aufschiebende Wirkung demnach im Sinne des gestellten Antrages gutzuheissen ist, womit der Vollzug der angefochtenen Verfügung bis zum rechtskräftigen Abschluss des Beschwerdeverfahrens gehemmt wird;</w:t>
      </w:r>
    </w:p>
    <w:p>
      <w:r>
        <w:t>- die Kosten der vorliegenden Verfügung bei der Hauptsache bleiben;</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