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BP.2009.3 vom 22. Januar 2009</w:t>
      </w:r>
    </w:p>
    <w:p>
      <w:r>
        <w:t>Bundesstrafgericht, 2009-01-22, DE</w:t>
      </w:r>
    </w:p>
    <w:p>
      <w:r>
        <w:rPr>
          <w:b/>
        </w:rPr>
        <w:t xml:space="preserve">Quelle: </w:t>
      </w:r>
      <w:r>
        <w:t>https://mcp.opencaselaw.ch/entscheid/bstger_BP.2009.3</w:t>
      </w:r>
    </w:p>
    <w:p>
      <w:r>
        <w:t>FR: TPF BP.2009.3 du 22 janvier 2009</w:t>
      </w:r>
    </w:p>
    <w:p>
      <w:r>
        <w:t>IT: TPF BP.2009.3 del 22 gennaio 2009</w:t>
      </w:r>
    </w:p>
    <w:p>
      <w:pPr>
        <w:pStyle w:val="Heading2"/>
      </w:pPr>
      <w:r>
        <w:t>Regeste</w:t>
      </w:r>
    </w:p>
    <w:p>
      <w:r>
        <w:t>aufschiebende Wirkung (Art. 218 BStP)</w:t>
      </w:r>
    </w:p>
    <w:p>
      <w:pPr>
        <w:pStyle w:val="Heading2"/>
      </w:pPr>
      <w:r>
        <w:t>Volltext</w:t>
      </w:r>
    </w:p>
    <w:p>
      <w:r>
        <w:t>Verfügung vom 22. Januar 2009 I. Beschwerdekammer Besetzung</w:t>
      </w:r>
    </w:p>
    <w:p>
      <w:r>
        <w:t>Bundesstrafrichter Emanuel Hochstrasser, Vorsitz, Gerichtsschreiber Stefan Graf</w:t>
      </w:r>
    </w:p>
    <w:p>
      <w:r>
        <w:t>Parteien</w:t>
      </w:r>
    </w:p>
    <w:p>
      <w:r>
        <w:t>A., vertreten durch Rechtsanwalt Markus Raess, Gesuchsteller</w:t>
      </w:r>
    </w:p>
    <w:p>
      <w:r>
        <w:t>gegen</w:t>
      </w:r>
    </w:p>
    <w:p>
      <w:r>
        <w:t>BUNDESANWALTSCHAFT,</w:t>
      </w:r>
    </w:p>
    <w:p>
      <w:r>
        <w:t>Gesuchsgegnerin</w:t>
      </w:r>
    </w:p>
    <w:p>
      <w:r>
        <w:t>Gegenstand</w:t>
      </w:r>
    </w:p>
    <w:p>
      <w:r>
        <w:t>aufschiebende Wirkung (Art. 218 BStP)</w:t>
      </w:r>
    </w:p>
    <w:p>
      <w:r>
        <w:t>B u n d e s s t r a f g e r i c h t T r i b u n a l p é n a l f é d é r a l T r i b u n a l e p e n a l e f e d e r a l e T r i b u n a l p e n a l f e d e r a l Geschäftsnummer: BP.2009.3 (Hauptverfahren: BB.2009.2)</w:t>
      </w:r>
    </w:p>
    <w:p>
      <w:r>
        <w:t>- 2 -</w:t>
      </w:r>
    </w:p>
    <w:p>
      <w:r>
        <w:t>Der Präsident der I. Beschwerdekammer zieht in Erwägung, dass:</w:t>
      </w:r>
    </w:p>
    <w:p>
      <w:r>
        <w:t>- die Gesuchsgegnerin gegen den Gesuchsteller und weitere Mitbeschuldig- te ein gerichtspolizeiliches Ermittlungsverfahren führt wegen des Verdachts des gewerbsmässigen Betrugs und weiterer Delikte;</w:t>
      </w:r>
    </w:p>
    <w:p>
      <w:r>
        <w:t>- die Gesuchsgegnerin mit Verfügung vom 6. Januar 2009 die Ermittlungen gegen den Gesuchsteller und weitere Mitbeschuldigte wegen strafbarer Handlungen zum Nachteil der B. AG in Liq. vom übrigen gerichtspolizeili- chen Ermittlungsverfahren trennte (BB.2009.2 act. 1.1);</w:t>
      </w:r>
    </w:p>
    <w:p>
      <w:r>
        <w:t>- der Gesuchsteller hiergegen mit Beschwerde vom 12. Januar 2009 an die I. Beschwerdekammer gelangte, die Aufhebung der Trennungsverfügung verlangte, und um Gewährung der aufschiebenden Wirkung ersuchte (act. 1);</w:t>
      </w:r>
    </w:p>
    <w:p>
      <w:r>
        <w:t>- die Gesuchsgegnerin mit Eingabe vom 21. Januar 2009 auf Abweisung des Gesuchs schloss (act. 3);</w:t>
      </w:r>
    </w:p>
    <w:p>
      <w:r>
        <w:t>- die Gewährung des Suspensiveffektes in der Regel von den konkreten Umständen und einer Abwägung der widerstreitenden Interessen abhängt (vgl. BGE 107 Ia 269 E. 1 S. 270 f.) und der Vollzug der angefochtenen Verfügung nicht aufgeschoben werden darf, wenn damit der Zweck der Un- tersuchung bzw. der mit der Massnahme angestrebte Zweck gefährdet oder vereitelt würde (vgl. GUIDON/WÜTHRICH, Zur Praxis bei Beschwerden gegen das Bundesstrafgericht, plädoyer 4/2005, S. 34 ff., 39 f.; BÖSCH, Die Anklagekammer des Schweizerischen Bundesgerichts [Aufgaben und Ver- fahren], Diss. Zürich 1978, S. 87);</w:t>
      </w:r>
    </w:p>
    <w:p>
      <w:r>
        <w:t>- die Gesuchsgegnerin in ihrer Vernehmlassung zutreffend vorbringt, dass das einzige Argument des Gesuchstellers für die Gewährung der aufschie- benden Wirkung darin bestehe, dass die Rückgängigmachung der Verfah- renstrennung verfahrensökonomisch unsinnig sei, sie weiter geltend macht, dass ihm durch die Trennung des Verfahrens kein nicht wieder gutzuma- chender Nachteil erwachse, sondern ein allfälliger Aufwand, getrennte Ver- fahren wieder zu vereinigen, nur die Strafverfolgungsbehörden treffe;</w:t>
      </w:r>
    </w:p>
    <w:p>
      <w:r>
        <w:t>- die Gesuchsgegnerin es ihrerseits jedoch im Übrigen unterlässt auszufüh- ren, weshalb der Vollzug der angefochtenen Verfügung für die Dauer des Beschwerdeverfahrens nicht aufgeschoben werden dürfe;</w:t>
      </w:r>
    </w:p>
    <w:p>
      <w:r>
        <w:t>- sich eine Interessenabwägung daher als schwierig erweist;</w:t>
      </w:r>
    </w:p>
    <w:p>
      <w:r>
        <w:t>- 3 -</w:t>
      </w:r>
    </w:p>
    <w:p>
      <w:r>
        <w:t>- es zwar zutreffend ist, dass eine allfällige spätere Rückgängigmachung der Verfahrenstrennung primär die Strafverfolgungsbehörden trifft, der hiermit verbundene Aufwand aber tatsächlich unverhältnismässig erscheint;</w:t>
      </w:r>
    </w:p>
    <w:p>
      <w:r>
        <w:t>- sich die mit einer allfälligen Rückgängigmachung der Verfahrenstrennung verbundene zusätzliche Verfahrensverzögerung auf jeden Fall auch für den Gesuchsteller nachteilig auswirken würde;</w:t>
      </w:r>
    </w:p>
    <w:p>
      <w:r>
        <w:t>- der diesbezügliche Endentscheid möglichst rasch zu ergehen hat, um das Verfahren nicht unnötig zu verzögern, und die Parteien diesbezüglich an- gesichts der bereits ausführlich begründeten Trennungsverfügung und Be- schwerde darauf hingewiesen werden, dass im allenfalls durchzuführenden weiteren Schriftenwechsel keine Fristerstreckungen gewährt werden;</w:t>
      </w:r>
    </w:p>
    <w:p>
      <w:r>
        <w:t>- es sich deshalb rechtfertigt, bis zum Entscheid in der Hauptsache den sta- tus quo aufrecht zu erhalten;</w:t>
      </w:r>
    </w:p>
    <w:p>
      <w:r>
        <w:t>- die Kosten dieser Verfügung bei der Hauptsache verbleiben;</w:t>
      </w:r>
    </w:p>
    <w:p>
      <w:r>
        <w:t>- 4 -</w:t>
      </w:r>
    </w:p>
    <w:p>
      <w:r>
        <w:t>und erkennt:</w:t>
      </w:r>
    </w:p>
    <w:p>
      <w:r>
        <w:t>1. Der Beschwerde vom 12. Januar 2009 wird die aufschiebende Wirkung er- teilt.</w:t>
      </w:r>
    </w:p>
    <w:p>
      <w:r>
        <w:t>2. Die Kosten dieser Verfügung verbleiben bei der Hauptsache.</w:t>
      </w:r>
    </w:p>
    <w:p>
      <w:r>
        <w:t>Bellinzona, 22. Januar 2009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Markus Raess - Bundesanwaltschaft</w:t>
      </w:r>
    </w:p>
    <w:p>
      <w:r>
        <w:t>Rechtsmittelbelehrung Gegen diese Verfügung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