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BP.2008.67 vom 23. Dezember 2008</w:t>
      </w:r>
    </w:p>
    <w:p>
      <w:r>
        <w:t>Bundesstrafgericht, 2008-12-23, DE</w:t>
      </w:r>
    </w:p>
    <w:p>
      <w:r>
        <w:rPr>
          <w:b/>
        </w:rPr>
        <w:t xml:space="preserve">Quelle: </w:t>
      </w:r>
      <w:r>
        <w:t>https://mcp.opencaselaw.ch/entscheid/bstger_BP.2008.67</w:t>
      </w:r>
    </w:p>
    <w:p>
      <w:r>
        <w:t>FR: TPF BP.2008.67 du 23 décembre 2008</w:t>
      </w:r>
    </w:p>
    <w:p>
      <w:r>
        <w:t>IT: TPF BP.2008.67 del 23 dicembre 2008</w:t>
      </w:r>
    </w:p>
    <w:p>
      <w:pPr>
        <w:pStyle w:val="Heading2"/>
      </w:pPr>
      <w:r>
        <w:t>Regeste</w:t>
      </w:r>
    </w:p>
    <w:p>
      <w:r>
        <w:t>Untersuchungshaft &amp;ndash; aufschiebende Wirkung (Art. 218 BStP).</w:t>
      </w:r>
    </w:p>
    <w:p>
      <w:pPr>
        <w:pStyle w:val="Heading2"/>
      </w:pPr>
      <w:r>
        <w:t>Erwägungen</w:t>
      </w:r>
    </w:p>
    <w:p>
      <w:r>
        <w:rPr>
          <w:b/>
        </w:rPr>
        <w:t>E. 5</w:t>
      </w:r>
    </w:p>
    <w:p>
      <w:r>
        <w:t>August 2008 die Haftvoraussetzungen nicht verändert hätten, das Unter- suchungsrichteramt seit seinem Entscheid vom 28. April 2008 nichts Ent- scheidendes vorgekehrt habe, um die auch von ihm seinerzeit bejahte Kollu- sionsgefahr zu vermindern oder gar zu bannen, vielmehr inzwischen bekannt geworden sei, dass A. auf den Bahamas Grundstücke im Wert von über Fr. 1'000'000.-- erworben haben soll, wobei diesbezüglich weiterer Abklä- rungsbedarf gegeben sei;</w:t>
      </w:r>
    </w:p>
    <w:p>
      <w:r>
        <w:t>- die Bundesanwaltschaft weiter vorbringt, dass sich im Hause von A. in Thai- land auf einer Harddisk noch äusserst sensible Daten befänden, welche A. in Freiheit zu seinen Gunsten manipulieren, verkaufen oder ganz einfach ver- schwinden lassen könnte;</w:t>
      </w:r>
    </w:p>
    <w:p>
      <w:r>
        <w:t>- gemäss Bundesanwaltschaft schliesslich auch nebulös bleibe, aus was für Geschäften die weit über Fr. 100'000.-- stammen würden, die A. seiner Frau in Thailand zum Kauf eines Hauses zur Verfügung gestellt habe, womit in diesem Punkt nach wie vor Verdunkelungsgefahr bestehe;</w:t>
      </w:r>
    </w:p>
    <w:p>
      <w:r>
        <w:t>- 4 -</w:t>
      </w:r>
    </w:p>
    <w:p>
      <w:r>
        <w:t>- A. dagegen eine Beteiligung an den Grundstückgeschäften auf den Bahamas bestreitet und zusätzlich ausführt, dass dieser Bereich mangels Ermächti- gung nicht Gegenstand des Strafverfahrens sein dürfe;</w:t>
      </w:r>
    </w:p>
    <w:p>
      <w:r>
        <w:t>- A. weiter vorbringt, dass es sich hinsichtlich der erwähnten Daten in Thailand, für deren Bestehen es in den Akten an jeglicher Grundlage fehle, um den klassischen Fall der Wiederbeschaffung auf Anordnung des Bundesrates vernichteter Akten handle, deren Auswirkungen nicht zulasten des Inhaftier- ten gehen dürfe;</w:t>
      </w:r>
    </w:p>
    <w:p>
      <w:r>
        <w:t>- A. letztlich die Beschwerde der Bundesanwaltschaft als widersprüchlich ta- xiert, nachdem diese gegen die zeitgleich verfügte Freilassung seines bisher ebenfalls inhaftierten Bruders keine Beschwerde erhoben hat;</w:t>
      </w:r>
    </w:p>
    <w:p>
      <w:r>
        <w:t>- die Ausführungen der Bundesanwaltschaft zum Vorliegen der Kollusionsge- fahr in ihrer Gesamtheit nicht von vorneherein als haltlos erscheinen und sich die Bundesanwaltschaft zudem noch ausdrücklich die Ergänzung ihrer Be- schwerde vorbehalten hat;</w:t>
      </w:r>
    </w:p>
    <w:p>
      <w:r>
        <w:t>- dass die Freilassung seines Bruders nicht auch automatisch zum Wegfall der Haftgründe hinsichtlich A. führen, namentlich da die Haftgründe der Flucht- und der Kollusionsgefahr wesentlich von der jeweils individuellen persönli- chen Situation des Mitbeschuldigten abhängt;</w:t>
      </w:r>
    </w:p>
    <w:p>
      <w:r>
        <w:t>- eine vertiefte Beurteilung aufgrund der Eingaben im Rahmen des ordentli- chen Schriftenwechsels vorzunehmen sein wird;</w:t>
      </w:r>
    </w:p>
    <w:p>
      <w:r>
        <w:t>- die Verweigerung der Gewährung der aufschiebenden Wirkung die unverzüg- liche Freilassung von A. trotz einer möglicherweise weiterhin bestehenden Kollusionsgefahr zur Folge hätte;</w:t>
      </w:r>
    </w:p>
    <w:p>
      <w:r>
        <w:t>- damit eine konkrete Gefährdung des Untersuchungszwecks gegeben wäre und sich daher eine Haftbelassung des Beschwerdegegners bis zum Ent- scheid in der Hauptsache rechtfertigt;</w:t>
      </w:r>
    </w:p>
    <w:p>
      <w:r>
        <w:t>- der Beschwerde daher die aufschiebende Wirkung zu gewähren und A. bis zum Entscheid über die Beschwerde in Haft zu belassen ist;</w:t>
      </w:r>
    </w:p>
    <w:p>
      <w:r>
        <w:t>- die Kosten dieser Verfügung bei der Hauptsache verbleiben;</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